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转发器规格书</w:t>
      </w:r>
    </w:p>
    <w:p>
      <w:pPr>
        <w:pStyle w:val="15"/>
        <w:numPr>
          <w:ilvl w:val="0"/>
          <w:numId w:val="2"/>
        </w:num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组成与功能</w:t>
      </w:r>
    </w:p>
    <w:p>
      <w:r>
        <w:rPr>
          <w:rFonts w:hint="eastAsia"/>
        </w:rPr>
        <w:t>卫星信号转发器由1个接收天线、1个转发器主机、2个发射天线、1套天线馈线（共3根）和1根电源输入电缆组成。</w:t>
      </w:r>
    </w:p>
    <w:p>
      <w:r>
        <w:rPr>
          <w:rFonts w:hint="eastAsia"/>
        </w:rPr>
        <w:t>转发器组成示意图如下图1所示：</w:t>
      </w:r>
    </w:p>
    <w:p>
      <w:pPr>
        <w:ind w:firstLine="0"/>
        <w:jc w:val="center"/>
      </w:pPr>
      <w:bookmarkStart w:id="7" w:name="_GoBack"/>
      <w:r>
        <w:rPr>
          <w:rFonts w:hint="eastAsia"/>
        </w:rPr>
        <w:drawing>
          <wp:inline distT="0" distB="0" distL="0" distR="0">
            <wp:extent cx="3752850" cy="20637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>
      <w:pPr>
        <w:ind w:firstLine="0"/>
        <w:jc w:val="center"/>
      </w:pPr>
      <w:r>
        <w:rPr>
          <w:rFonts w:hint="eastAsia"/>
        </w:rPr>
        <w:t>图1</w:t>
      </w:r>
      <w:r>
        <w:t xml:space="preserve">  </w:t>
      </w:r>
      <w:r>
        <w:rPr>
          <w:rFonts w:hint="eastAsia"/>
        </w:rPr>
        <w:t>转发器系统组成示意图</w:t>
      </w:r>
    </w:p>
    <w:p>
      <w:pPr>
        <w:pStyle w:val="12"/>
        <w:spacing w:line="360" w:lineRule="auto"/>
        <w:ind w:firstLine="480" w:firstLineChars="200"/>
        <w:outlineLvl w:val="0"/>
        <w:rPr>
          <w:rFonts w:hAnsi="宋体"/>
          <w:kern w:val="0"/>
          <w:sz w:val="24"/>
          <w:szCs w:val="24"/>
        </w:rPr>
      </w:pPr>
    </w:p>
    <w:p>
      <w:pPr>
        <w:pStyle w:val="12"/>
        <w:spacing w:line="360" w:lineRule="auto"/>
        <w:ind w:firstLine="480" w:firstLineChars="200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设备主要实现功能如下：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接收外部空间G</w:t>
      </w:r>
      <w:r>
        <w:rPr>
          <w:rFonts w:hAnsi="宋体"/>
          <w:kern w:val="0"/>
          <w:sz w:val="24"/>
          <w:szCs w:val="24"/>
        </w:rPr>
        <w:t>PS</w:t>
      </w:r>
      <w:r>
        <w:rPr>
          <w:rFonts w:hint="eastAsia" w:hAnsi="宋体"/>
          <w:kern w:val="0"/>
          <w:sz w:val="24"/>
          <w:szCs w:val="24"/>
        </w:rPr>
        <w:t>\</w:t>
      </w:r>
      <w:r>
        <w:rPr>
          <w:rFonts w:hAnsi="宋体"/>
          <w:kern w:val="0"/>
          <w:sz w:val="24"/>
          <w:szCs w:val="24"/>
        </w:rPr>
        <w:t>L1、GLONASS\G1、BD2\</w:t>
      </w:r>
      <w:r>
        <w:rPr>
          <w:rFonts w:hint="eastAsia" w:hAnsi="宋体"/>
          <w:kern w:val="0"/>
          <w:sz w:val="24"/>
          <w:szCs w:val="24"/>
        </w:rPr>
        <w:t>B</w:t>
      </w:r>
      <w:r>
        <w:rPr>
          <w:rFonts w:hAnsi="宋体"/>
          <w:kern w:val="0"/>
          <w:sz w:val="24"/>
          <w:szCs w:val="24"/>
        </w:rPr>
        <w:t>1</w:t>
      </w:r>
      <w:r>
        <w:rPr>
          <w:rFonts w:hint="eastAsia" w:hAnsi="宋体"/>
          <w:kern w:val="0"/>
          <w:sz w:val="24"/>
          <w:szCs w:val="24"/>
        </w:rPr>
        <w:t>三系统卫星信号；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能对20</w:t>
      </w:r>
      <w:r>
        <w:rPr>
          <w:rFonts w:hAnsi="宋体"/>
          <w:kern w:val="0"/>
          <w:sz w:val="24"/>
          <w:szCs w:val="24"/>
        </w:rPr>
        <w:t>m</w:t>
      </w:r>
      <w:r>
        <w:rPr>
          <w:rFonts w:hint="eastAsia" w:hAnsi="宋体"/>
          <w:kern w:val="0"/>
          <w:sz w:val="24"/>
          <w:szCs w:val="24"/>
        </w:rPr>
        <w:t>较长馈线所衰减的卫星信号进行增益放大；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实现信号通过无源发射天线辐射到密闭空间；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可调节信号增益强度满足不同大小空间的使用；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具有过压过流保护功能避免误操作而损坏设备；</w:t>
      </w:r>
    </w:p>
    <w:p>
      <w:pPr>
        <w:pStyle w:val="12"/>
        <w:numPr>
          <w:ilvl w:val="0"/>
          <w:numId w:val="3"/>
        </w:numPr>
        <w:spacing w:line="360" w:lineRule="auto"/>
        <w:outlineLvl w:val="0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具备前置滤波多极点陷波技术和前置匹配组合防雷技术。</w:t>
      </w:r>
    </w:p>
    <w:p>
      <w:pPr>
        <w:pStyle w:val="3"/>
        <w:ind w:firstLine="0"/>
      </w:pPr>
    </w:p>
    <w:p>
      <w:pPr>
        <w:pStyle w:val="15"/>
        <w:numPr>
          <w:ilvl w:val="0"/>
          <w:numId w:val="2"/>
        </w:num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技术指标</w:t>
      </w:r>
    </w:p>
    <w:p>
      <w:pPr>
        <w:pStyle w:val="15"/>
        <w:jc w:val="left"/>
        <w:rPr>
          <w:rFonts w:ascii="宋体" w:hAnsi="宋体" w:eastAsia="宋体"/>
          <w:sz w:val="24"/>
          <w:szCs w:val="24"/>
        </w:rPr>
      </w:pPr>
      <w:r>
        <w:rPr>
          <w:sz w:val="24"/>
          <w:szCs w:val="24"/>
        </w:rPr>
        <w:t xml:space="preserve">.2.1 </w:t>
      </w:r>
      <w:r>
        <w:rPr>
          <w:rFonts w:hint="eastAsia"/>
          <w:sz w:val="24"/>
          <w:szCs w:val="24"/>
        </w:rPr>
        <w:t>性能指标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>转发信号频段：1560~1620</w:t>
      </w:r>
      <w:r>
        <w:t>MHz（</w:t>
      </w:r>
      <w:r>
        <w:rPr>
          <w:rFonts w:hint="eastAsia" w:ascii="宋体" w:hAnsi="宋体"/>
        </w:rPr>
        <w:t>±</w:t>
      </w:r>
      <w:r>
        <w:t>2 MHz）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>可调输出增益：</w:t>
      </w:r>
      <w:r>
        <w:t xml:space="preserve"> 10</w:t>
      </w:r>
      <w:r>
        <w:rPr>
          <w:rFonts w:hint="eastAsia" w:ascii="宋体" w:hAnsi="宋体"/>
        </w:rPr>
        <w:t>～</w:t>
      </w:r>
      <w:r>
        <w:rPr>
          <w:rFonts w:hint="eastAsia"/>
        </w:rPr>
        <w:t>40</w:t>
      </w:r>
      <w:r>
        <w:t xml:space="preserve"> dB（</w:t>
      </w:r>
      <w:r>
        <w:rPr>
          <w:rFonts w:hint="eastAsia" w:ascii="宋体" w:hAnsi="宋体"/>
        </w:rPr>
        <w:t>±</w:t>
      </w:r>
      <w:r>
        <w:rPr>
          <w:rFonts w:hint="eastAsia"/>
        </w:rPr>
        <w:t>2</w:t>
      </w:r>
      <w:r>
        <w:t>dB）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>接收天线干扰抑制：25</w:t>
      </w:r>
      <w:r>
        <w:t xml:space="preserve"> dB（</w:t>
      </w:r>
      <w:r>
        <w:rPr>
          <w:rFonts w:hint="eastAsia"/>
        </w:rPr>
        <w:t>f</w:t>
      </w:r>
      <w:r>
        <w:rPr>
          <w:vertAlign w:val="subscript"/>
        </w:rPr>
        <w:t>0</w:t>
      </w:r>
      <w:r>
        <w:rPr>
          <w:rFonts w:hint="eastAsia" w:ascii="宋体" w:hAnsi="宋体"/>
        </w:rPr>
        <w:t>±</w:t>
      </w:r>
      <w:r>
        <w:t>100MH</w:t>
      </w:r>
      <w:r>
        <w:rPr>
          <w:rFonts w:hint="eastAsia"/>
        </w:rPr>
        <w:t>z</w:t>
      </w:r>
      <w:r>
        <w:t>）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>天线极化方式：右旋圆极化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>天线驻波比：</w:t>
      </w:r>
      <w:r>
        <w:rPr>
          <w:rFonts w:hint="eastAsia" w:ascii="宋体" w:hAnsi="宋体"/>
        </w:rPr>
        <w:t>≤</w:t>
      </w:r>
      <w:r>
        <w:rPr>
          <w:rFonts w:hint="eastAsia"/>
        </w:rPr>
        <w:t>1.5</w:t>
      </w:r>
    </w:p>
    <w:p>
      <w:pPr>
        <w:pStyle w:val="35"/>
        <w:numPr>
          <w:ilvl w:val="0"/>
          <w:numId w:val="4"/>
        </w:numPr>
        <w:spacing w:line="360" w:lineRule="auto"/>
      </w:pPr>
      <w:r>
        <w:rPr>
          <w:rFonts w:hint="eastAsia"/>
        </w:rPr>
        <w:t xml:space="preserve">阻 </w:t>
      </w:r>
      <w:r>
        <w:t xml:space="preserve">     </w:t>
      </w:r>
      <w:r>
        <w:rPr>
          <w:rFonts w:hint="eastAsia"/>
        </w:rPr>
        <w:t>抗：50欧姆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2.2 </w:t>
      </w:r>
      <w:r>
        <w:rPr>
          <w:rFonts w:hint="eastAsia"/>
          <w:sz w:val="24"/>
          <w:szCs w:val="24"/>
        </w:rPr>
        <w:t>物理电气指标</w:t>
      </w:r>
    </w:p>
    <w:p>
      <w:pPr>
        <w:pStyle w:val="35"/>
        <w:numPr>
          <w:ilvl w:val="0"/>
          <w:numId w:val="5"/>
        </w:numPr>
        <w:spacing w:line="360" w:lineRule="auto"/>
      </w:pPr>
      <w:r>
        <w:rPr>
          <w:rFonts w:hint="eastAsia"/>
        </w:rPr>
        <w:t>输入电压：</w:t>
      </w:r>
      <w:r>
        <w:t>DC 12</w:t>
      </w:r>
      <w:r>
        <w:rPr>
          <w:rFonts w:hint="eastAsia" w:ascii="宋体" w:hAnsi="宋体"/>
        </w:rPr>
        <w:t>～3</w:t>
      </w:r>
      <w:r>
        <w:t>2V（</w:t>
      </w:r>
      <w:r>
        <w:rPr>
          <w:rFonts w:hint="eastAsia" w:ascii="宋体" w:hAnsi="宋体"/>
        </w:rPr>
        <w:t>±</w:t>
      </w:r>
      <w:r>
        <w:t>10%）</w:t>
      </w:r>
    </w:p>
    <w:p>
      <w:pPr>
        <w:pStyle w:val="35"/>
        <w:numPr>
          <w:ilvl w:val="0"/>
          <w:numId w:val="5"/>
        </w:numPr>
        <w:spacing w:line="360" w:lineRule="auto"/>
      </w:pPr>
      <w:r>
        <w:rPr>
          <w:rFonts w:hint="eastAsia"/>
        </w:rPr>
        <w:t>总 功 耗：</w:t>
      </w:r>
      <w:r>
        <w:rPr>
          <w:rFonts w:hint="eastAsia" w:ascii="宋体" w:hAnsi="宋体"/>
        </w:rPr>
        <w:t>≤</w:t>
      </w:r>
      <w:r>
        <w:rPr>
          <w:rFonts w:hint="eastAsia"/>
        </w:rPr>
        <w:t>1</w:t>
      </w:r>
      <w:r>
        <w:t>0W</w:t>
      </w:r>
    </w:p>
    <w:p>
      <w:pPr>
        <w:pStyle w:val="35"/>
        <w:numPr>
          <w:ilvl w:val="0"/>
          <w:numId w:val="5"/>
        </w:numPr>
        <w:spacing w:line="360" w:lineRule="auto"/>
      </w:pPr>
      <w:r>
        <w:rPr>
          <w:rFonts w:hint="eastAsia"/>
        </w:rPr>
        <w:t>主机重量：</w:t>
      </w:r>
      <w:r>
        <w:rPr>
          <w:rFonts w:hint="eastAsia" w:ascii="宋体" w:hAnsi="宋体"/>
        </w:rPr>
        <w:t>≤</w:t>
      </w:r>
      <w:r>
        <w:rPr>
          <w:rFonts w:hint="eastAsia"/>
        </w:rPr>
        <w:t>2</w:t>
      </w:r>
      <w:r>
        <w:t>.0Kg</w:t>
      </w:r>
    </w:p>
    <w:p>
      <w:pPr>
        <w:pStyle w:val="35"/>
        <w:numPr>
          <w:ilvl w:val="0"/>
          <w:numId w:val="5"/>
        </w:numPr>
        <w:spacing w:line="360" w:lineRule="auto"/>
      </w:pPr>
      <w:r>
        <w:rPr>
          <w:rFonts w:hint="eastAsia"/>
        </w:rPr>
        <w:t>主机尺寸：2</w:t>
      </w:r>
      <w:r>
        <w:t>16mm x 127mm x 58mm （</w:t>
      </w:r>
      <w:r>
        <w:rPr>
          <w:rFonts w:hint="eastAsia" w:ascii="宋体" w:hAnsi="宋体"/>
        </w:rPr>
        <w:t>±</w:t>
      </w:r>
      <w:r>
        <w:t>1mm）</w:t>
      </w:r>
    </w:p>
    <w:p>
      <w:pPr>
        <w:pStyle w:val="35"/>
        <w:numPr>
          <w:ilvl w:val="0"/>
          <w:numId w:val="5"/>
        </w:numPr>
        <w:spacing w:line="360" w:lineRule="auto"/>
      </w:pPr>
      <w:r>
        <w:rPr>
          <w:rFonts w:hint="eastAsia"/>
        </w:rPr>
        <w:t>天线尺寸：1</w:t>
      </w:r>
      <w:r>
        <w:t>20mm x 78mm x 36mm（</w:t>
      </w:r>
      <w:r>
        <w:rPr>
          <w:rFonts w:hint="eastAsia" w:ascii="宋体" w:hAnsi="宋体"/>
        </w:rPr>
        <w:t>±</w:t>
      </w:r>
      <w:r>
        <w:t>1mm）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2.3 </w:t>
      </w:r>
      <w:r>
        <w:rPr>
          <w:rFonts w:hint="eastAsia"/>
          <w:sz w:val="24"/>
          <w:szCs w:val="24"/>
        </w:rPr>
        <w:t>环境适应性</w:t>
      </w:r>
    </w:p>
    <w:p>
      <w:pPr>
        <w:pStyle w:val="35"/>
        <w:numPr>
          <w:ilvl w:val="0"/>
          <w:numId w:val="6"/>
        </w:numPr>
        <w:spacing w:line="360" w:lineRule="auto"/>
      </w:pPr>
      <w:r>
        <w:rPr>
          <w:rFonts w:hint="eastAsia"/>
        </w:rPr>
        <w:t>工作温度：-</w:t>
      </w:r>
      <w:r>
        <w:t>40</w:t>
      </w:r>
      <w:r>
        <w:rPr>
          <w:rFonts w:hint="eastAsia" w:ascii="宋体" w:hAnsi="宋体"/>
        </w:rPr>
        <w:t>℃～</w:t>
      </w:r>
      <w:r>
        <w:t>+60</w:t>
      </w:r>
      <w:r>
        <w:rPr>
          <w:rFonts w:hint="eastAsia" w:ascii="宋体" w:hAnsi="宋体"/>
        </w:rPr>
        <w:t>℃</w:t>
      </w:r>
    </w:p>
    <w:p>
      <w:pPr>
        <w:pStyle w:val="35"/>
        <w:numPr>
          <w:ilvl w:val="0"/>
          <w:numId w:val="6"/>
        </w:numPr>
        <w:spacing w:line="360" w:lineRule="auto"/>
      </w:pPr>
      <w:r>
        <w:rPr>
          <w:rFonts w:hint="eastAsia"/>
        </w:rPr>
        <w:t>贮存温度：-</w:t>
      </w:r>
      <w:r>
        <w:t>45</w:t>
      </w:r>
      <w:r>
        <w:rPr>
          <w:rFonts w:hint="eastAsia" w:ascii="宋体" w:hAnsi="宋体"/>
        </w:rPr>
        <w:t>℃～</w:t>
      </w:r>
      <w:r>
        <w:t>+65</w:t>
      </w:r>
      <w:r>
        <w:rPr>
          <w:rFonts w:hint="eastAsia" w:ascii="宋体" w:hAnsi="宋体"/>
        </w:rPr>
        <w:t>℃</w:t>
      </w:r>
    </w:p>
    <w:p>
      <w:pPr>
        <w:pStyle w:val="35"/>
        <w:numPr>
          <w:ilvl w:val="0"/>
          <w:numId w:val="6"/>
        </w:numPr>
        <w:spacing w:line="360" w:lineRule="auto"/>
      </w:pPr>
      <w:r>
        <w:rPr>
          <w:rFonts w:hint="eastAsia"/>
        </w:rPr>
        <w:t>相对湿度：1</w:t>
      </w:r>
      <w:r>
        <w:t>0%</w:t>
      </w:r>
      <w:r>
        <w:rPr>
          <w:rFonts w:hint="eastAsia" w:ascii="宋体" w:hAnsi="宋体"/>
        </w:rPr>
        <w:t>～</w:t>
      </w:r>
      <w:r>
        <w:t>95%(25</w:t>
      </w:r>
      <w:r>
        <w:rPr>
          <w:rFonts w:hint="eastAsia" w:ascii="宋体" w:hAnsi="宋体"/>
        </w:rPr>
        <w:t>℃</w:t>
      </w:r>
      <w:r>
        <w:t>)</w:t>
      </w:r>
    </w:p>
    <w:p>
      <w:pPr>
        <w:pStyle w:val="35"/>
        <w:numPr>
          <w:ilvl w:val="0"/>
          <w:numId w:val="6"/>
        </w:numPr>
        <w:spacing w:line="360" w:lineRule="auto"/>
      </w:pPr>
      <w:r>
        <w:rPr>
          <w:rFonts w:hint="eastAsia"/>
        </w:rPr>
        <w:t>防雨性能：100%防雨（接收天线及主机）</w:t>
      </w:r>
    </w:p>
    <w:p>
      <w:pPr>
        <w:pStyle w:val="3"/>
        <w:ind w:firstLine="0"/>
      </w:pPr>
    </w:p>
    <w:p>
      <w:pPr>
        <w:pStyle w:val="15"/>
        <w:numPr>
          <w:ilvl w:val="0"/>
          <w:numId w:val="2"/>
        </w:num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结构与接口定义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3.1 </w:t>
      </w:r>
      <w:r>
        <w:rPr>
          <w:rFonts w:hint="eastAsia"/>
          <w:sz w:val="24"/>
          <w:szCs w:val="24"/>
        </w:rPr>
        <w:t>转发器主机</w:t>
      </w:r>
    </w:p>
    <w:p>
      <w:pPr>
        <w:pStyle w:val="12"/>
        <w:spacing w:line="360" w:lineRule="auto"/>
        <w:ind w:firstLine="480" w:firstLineChars="200"/>
        <w:rPr>
          <w:rFonts w:hAnsi="宋体"/>
          <w:sz w:val="24"/>
          <w:szCs w:val="24"/>
        </w:rPr>
      </w:pPr>
      <w:r>
        <w:rPr>
          <w:rFonts w:hint="eastAsia"/>
          <w:sz w:val="24"/>
          <w:szCs w:val="24"/>
        </w:rPr>
        <w:t>转发器主机壳体</w:t>
      </w:r>
      <w:r>
        <w:rPr>
          <w:rFonts w:hint="eastAsia" w:hAnsi="Plotter"/>
          <w:sz w:val="24"/>
          <w:szCs w:val="24"/>
        </w:rPr>
        <w:t>采用铝合金材料LY12</w:t>
      </w:r>
      <w:r>
        <w:rPr>
          <w:rFonts w:hint="eastAsia"/>
          <w:sz w:val="24"/>
          <w:szCs w:val="24"/>
        </w:rPr>
        <w:t>，表面做阳极化发黑亚光处理。壳体由箱体和上盖板两个</w:t>
      </w:r>
      <w:r>
        <w:rPr>
          <w:rFonts w:hint="eastAsia" w:hAnsi="宋体"/>
          <w:sz w:val="24"/>
          <w:szCs w:val="24"/>
        </w:rPr>
        <w:t>部件，用不锈钢螺钉螺接而成。</w:t>
      </w:r>
    </w:p>
    <w:p>
      <w:pPr>
        <w:overflowPunct/>
        <w:autoSpaceDE w:val="0"/>
        <w:autoSpaceDN w:val="0"/>
        <w:adjustRightInd/>
        <w:snapToGrid/>
        <w:ind w:firstLine="0"/>
        <w:jc w:val="center"/>
        <w:rPr>
          <w:kern w:val="2"/>
        </w:rPr>
      </w:pPr>
      <w:r>
        <w:rPr>
          <w:rFonts w:hint="eastAsia"/>
          <w:kern w:val="2"/>
        </w:rPr>
        <w:drawing>
          <wp:inline distT="0" distB="0" distL="0" distR="0">
            <wp:extent cx="4502150" cy="33083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215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/>
        <w:autoSpaceDE w:val="0"/>
        <w:autoSpaceDN w:val="0"/>
        <w:adjustRightInd/>
        <w:snapToGrid/>
        <w:ind w:firstLine="0"/>
        <w:jc w:val="center"/>
        <w:rPr>
          <w:kern w:val="2"/>
        </w:rPr>
      </w:pPr>
      <w:r>
        <w:rPr>
          <w:rFonts w:hint="eastAsia"/>
          <w:kern w:val="2"/>
        </w:rPr>
        <w:t>图2</w:t>
      </w:r>
      <w:r>
        <w:rPr>
          <w:kern w:val="2"/>
        </w:rPr>
        <w:t xml:space="preserve"> </w:t>
      </w:r>
      <w:r>
        <w:rPr>
          <w:rFonts w:hint="eastAsia"/>
          <w:kern w:val="2"/>
        </w:rPr>
        <w:t>主机壳体外形尺寸示意图</w:t>
      </w:r>
    </w:p>
    <w:p>
      <w:pPr>
        <w:overflowPunct/>
        <w:autoSpaceDE w:val="0"/>
        <w:autoSpaceDN w:val="0"/>
        <w:adjustRightInd/>
        <w:snapToGrid/>
        <w:ind w:firstLine="480" w:firstLineChars="200"/>
        <w:jc w:val="both"/>
        <w:rPr>
          <w:kern w:val="2"/>
        </w:rPr>
      </w:pPr>
      <w:r>
        <w:rPr>
          <w:rFonts w:hint="eastAsia"/>
          <w:kern w:val="2"/>
        </w:rPr>
        <w:t>主机正面为接口安装面（如上图</w:t>
      </w:r>
      <w:r>
        <w:rPr>
          <w:kern w:val="2"/>
        </w:rPr>
        <w:t>2</w:t>
      </w:r>
      <w:r>
        <w:rPr>
          <w:rFonts w:hint="eastAsia"/>
          <w:kern w:val="2"/>
        </w:rPr>
        <w:t>所示），由1个4芯电源接口、1个N型射频接口、两个T</w:t>
      </w:r>
      <w:r>
        <w:rPr>
          <w:kern w:val="2"/>
        </w:rPr>
        <w:t>NC</w:t>
      </w:r>
      <w:r>
        <w:rPr>
          <w:rFonts w:hint="eastAsia"/>
          <w:kern w:val="2"/>
        </w:rPr>
        <w:t>型射频接口、1个电源开关按键及1个功率调节旋钮组成，电源开关上部设计状态指示灯，可指示转发器工作状态。</w:t>
      </w:r>
    </w:p>
    <w:p>
      <w:pPr>
        <w:pStyle w:val="1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.2 </w:t>
      </w:r>
      <w:r>
        <w:rPr>
          <w:rFonts w:hint="eastAsia"/>
          <w:sz w:val="24"/>
          <w:szCs w:val="24"/>
        </w:rPr>
        <w:t>接口定义</w:t>
      </w:r>
    </w:p>
    <w:p>
      <w:pPr>
        <w:pStyle w:val="35"/>
        <w:numPr>
          <w:ilvl w:val="0"/>
          <w:numId w:val="7"/>
        </w:numPr>
        <w:spacing w:line="360" w:lineRule="auto"/>
      </w:pPr>
      <w:r>
        <w:rPr>
          <w:rFonts w:hint="eastAsia"/>
        </w:rPr>
        <w:t>输入接口：卫星信号输入接口采用N型接插座，型号为N</w:t>
      </w:r>
      <w:r>
        <w:t>-KF5；</w:t>
      </w:r>
      <w:r>
        <w:rPr>
          <w:rFonts w:hint="eastAsia"/>
        </w:rPr>
        <w:t>配套插头型号N-</w:t>
      </w:r>
      <w:r>
        <w:t>JW5Y；</w:t>
      </w:r>
    </w:p>
    <w:p>
      <w:pPr>
        <w:pStyle w:val="35"/>
        <w:numPr>
          <w:ilvl w:val="0"/>
          <w:numId w:val="7"/>
        </w:numPr>
        <w:spacing w:line="360" w:lineRule="auto"/>
      </w:pPr>
      <w:r>
        <w:rPr>
          <w:rFonts w:hint="eastAsia"/>
        </w:rPr>
        <w:t>卫星信号输出接口采用T</w:t>
      </w:r>
      <w:r>
        <w:t>NC</w:t>
      </w:r>
      <w:r>
        <w:rPr>
          <w:rFonts w:hint="eastAsia"/>
        </w:rPr>
        <w:t>型接插座，型号为T</w:t>
      </w:r>
      <w:r>
        <w:t>NC-KF5；</w:t>
      </w:r>
      <w:r>
        <w:rPr>
          <w:rFonts w:hint="eastAsia"/>
        </w:rPr>
        <w:t>配套插头型号</w:t>
      </w:r>
      <w:r>
        <w:t>TNC-JW5Y。</w:t>
      </w:r>
    </w:p>
    <w:p>
      <w:pPr>
        <w:pStyle w:val="35"/>
        <w:numPr>
          <w:ilvl w:val="0"/>
          <w:numId w:val="7"/>
        </w:numPr>
        <w:spacing w:line="360" w:lineRule="auto"/>
      </w:pPr>
      <w:r>
        <w:rPr>
          <w:rFonts w:hint="eastAsia"/>
          <w:kern w:val="2"/>
        </w:rPr>
        <w:t>功率增益调节旋钮：</w:t>
      </w:r>
      <w:r>
        <w:rPr>
          <w:kern w:val="2"/>
        </w:rPr>
        <w:t>Bourns-encoder-3590s-2</w:t>
      </w:r>
      <w:r>
        <w:rPr>
          <w:rFonts w:hint="eastAsia"/>
          <w:kern w:val="2"/>
        </w:rPr>
        <w:t>，10圈电位器。</w:t>
      </w:r>
    </w:p>
    <w:p>
      <w:pPr>
        <w:jc w:val="center"/>
      </w:pPr>
    </w:p>
    <w:p>
      <w:pPr>
        <w:pStyle w:val="35"/>
        <w:numPr>
          <w:ilvl w:val="0"/>
          <w:numId w:val="7"/>
        </w:numPr>
        <w:spacing w:line="360" w:lineRule="auto"/>
      </w:pPr>
      <w:r>
        <w:rPr>
          <w:rFonts w:hint="eastAsia"/>
        </w:rPr>
        <w:t>电源输入插座接插件采用型号为：X</w:t>
      </w:r>
      <w:r>
        <w:t>KE11F4Z</w:t>
      </w:r>
      <w:r>
        <w:rPr>
          <w:rFonts w:hint="eastAsia"/>
        </w:rPr>
        <w:t>插座，配套插头型号为：X</w:t>
      </w:r>
      <w:r>
        <w:t>KE11R4P</w:t>
      </w:r>
      <w:r>
        <w:rPr>
          <w:rFonts w:hint="eastAsia"/>
        </w:rPr>
        <w:t>插头，其管脚定义如下表1所示：</w:t>
      </w:r>
    </w:p>
    <w:tbl>
      <w:tblPr>
        <w:tblStyle w:val="16"/>
        <w:tblpPr w:leftFromText="180" w:rightFromText="180" w:vertAnchor="text" w:tblpXSpec="center" w:tblpY="1"/>
        <w:tblOverlap w:val="never"/>
        <w:tblW w:w="6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153"/>
        <w:gridCol w:w="1656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28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管脚号</w:t>
            </w:r>
          </w:p>
        </w:tc>
        <w:tc>
          <w:tcPr>
            <w:tcW w:w="2153" w:type="dxa"/>
            <w:vAlign w:val="center"/>
          </w:tcPr>
          <w:p>
            <w:pPr>
              <w:spacing w:line="240" w:lineRule="auto"/>
              <w:jc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名称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auto"/>
              <w:jc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定义</w:t>
            </w:r>
          </w:p>
        </w:tc>
        <w:tc>
          <w:tcPr>
            <w:tcW w:w="1557" w:type="dxa"/>
            <w:vAlign w:val="center"/>
          </w:tcPr>
          <w:p>
            <w:pPr>
              <w:spacing w:line="240" w:lineRule="auto"/>
              <w:jc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28" w:type="dxa"/>
            <w:vAlign w:val="center"/>
          </w:tcPr>
          <w:p>
            <w:pPr>
              <w:numPr>
                <w:ilvl w:val="0"/>
                <w:numId w:val="8"/>
              </w:numPr>
              <w:overflowPunct/>
              <w:adjustRightInd/>
              <w:snapToGrid/>
              <w:spacing w:line="24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电源输入+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+1</w:t>
            </w:r>
            <w:r>
              <w:rPr>
                <w:kern w:val="2"/>
                <w:sz w:val="21"/>
              </w:rPr>
              <w:t>2</w:t>
            </w:r>
            <w:r>
              <w:rPr>
                <w:rFonts w:hint="eastAsia" w:ascii="宋体" w:hAnsi="宋体"/>
                <w:kern w:val="2"/>
                <w:sz w:val="21"/>
              </w:rPr>
              <w:t>～</w:t>
            </w:r>
            <w:r>
              <w:rPr>
                <w:rFonts w:hint="eastAsia"/>
                <w:kern w:val="2"/>
                <w:sz w:val="21"/>
              </w:rPr>
              <w:t>32</w:t>
            </w:r>
            <w:r>
              <w:rPr>
                <w:kern w:val="2"/>
                <w:sz w:val="21"/>
              </w:rPr>
              <w:t>V DC</w:t>
            </w:r>
          </w:p>
        </w:tc>
        <w:tc>
          <w:tcPr>
            <w:tcW w:w="1557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 w:ascii="宋体" w:hAnsi="宋体"/>
                <w:kern w:val="2"/>
                <w:sz w:val="21"/>
              </w:rPr>
              <w:t>±</w:t>
            </w:r>
            <w:r>
              <w:rPr>
                <w:rFonts w:hint="eastAsia"/>
                <w:kern w:val="2"/>
                <w:sz w:val="21"/>
              </w:rPr>
              <w:t>1</w:t>
            </w:r>
            <w:r>
              <w:rPr>
                <w:kern w:val="2"/>
                <w:sz w:val="21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28" w:type="dxa"/>
            <w:vAlign w:val="center"/>
          </w:tcPr>
          <w:p>
            <w:pPr>
              <w:numPr>
                <w:ilvl w:val="0"/>
                <w:numId w:val="8"/>
              </w:numPr>
              <w:overflowPunct/>
              <w:adjustRightInd/>
              <w:snapToGrid/>
              <w:spacing w:line="24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电源输入+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+1</w:t>
            </w:r>
            <w:r>
              <w:rPr>
                <w:kern w:val="2"/>
                <w:sz w:val="21"/>
              </w:rPr>
              <w:t>2</w:t>
            </w:r>
            <w:r>
              <w:rPr>
                <w:rFonts w:hint="eastAsia" w:ascii="宋体" w:hAnsi="宋体"/>
                <w:kern w:val="2"/>
                <w:sz w:val="21"/>
              </w:rPr>
              <w:t>～</w:t>
            </w:r>
            <w:r>
              <w:rPr>
                <w:rFonts w:hint="eastAsia"/>
                <w:kern w:val="2"/>
                <w:sz w:val="21"/>
              </w:rPr>
              <w:t>32</w:t>
            </w:r>
            <w:r>
              <w:rPr>
                <w:kern w:val="2"/>
                <w:sz w:val="21"/>
              </w:rPr>
              <w:t>V DC</w:t>
            </w:r>
          </w:p>
        </w:tc>
        <w:tc>
          <w:tcPr>
            <w:tcW w:w="1557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 w:ascii="宋体" w:hAnsi="宋体"/>
                <w:kern w:val="2"/>
                <w:sz w:val="21"/>
              </w:rPr>
              <w:t>±</w:t>
            </w:r>
            <w:r>
              <w:rPr>
                <w:rFonts w:hint="eastAsia"/>
                <w:kern w:val="2"/>
                <w:sz w:val="21"/>
              </w:rPr>
              <w:t>1</w:t>
            </w:r>
            <w:r>
              <w:rPr>
                <w:kern w:val="2"/>
                <w:sz w:val="21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28" w:type="dxa"/>
            <w:vAlign w:val="center"/>
          </w:tcPr>
          <w:p>
            <w:pPr>
              <w:numPr>
                <w:ilvl w:val="0"/>
                <w:numId w:val="8"/>
              </w:numPr>
              <w:overflowPunct/>
              <w:adjustRightInd/>
              <w:snapToGrid/>
              <w:spacing w:line="24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电源地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GND</w:t>
            </w:r>
          </w:p>
        </w:tc>
        <w:tc>
          <w:tcPr>
            <w:tcW w:w="1557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928" w:type="dxa"/>
            <w:vAlign w:val="center"/>
          </w:tcPr>
          <w:p>
            <w:pPr>
              <w:numPr>
                <w:ilvl w:val="0"/>
                <w:numId w:val="8"/>
              </w:numPr>
              <w:overflowPunct/>
              <w:adjustRightInd/>
              <w:snapToGrid/>
              <w:spacing w:line="24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电源地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GND</w:t>
            </w:r>
          </w:p>
        </w:tc>
        <w:tc>
          <w:tcPr>
            <w:tcW w:w="1557" w:type="dxa"/>
            <w:vAlign w:val="center"/>
          </w:tcPr>
          <w:p>
            <w:pPr>
              <w:spacing w:line="240" w:lineRule="auto"/>
              <w:jc w:val="center"/>
              <w:rPr>
                <w:kern w:val="2"/>
                <w:sz w:val="21"/>
              </w:rPr>
            </w:pPr>
          </w:p>
        </w:tc>
      </w:tr>
    </w:tbl>
    <w:p/>
    <w:p/>
    <w:p>
      <w:pPr>
        <w:overflowPunct/>
        <w:autoSpaceDE w:val="0"/>
        <w:autoSpaceDN w:val="0"/>
        <w:adjustRightInd/>
        <w:snapToGrid/>
        <w:ind w:firstLine="480" w:firstLineChars="200"/>
        <w:jc w:val="both"/>
        <w:rPr>
          <w:kern w:val="2"/>
        </w:rPr>
      </w:pPr>
    </w:p>
    <w:p>
      <w:pPr>
        <w:pStyle w:val="3"/>
        <w:ind w:firstLine="0"/>
      </w:pPr>
    </w:p>
    <w:p>
      <w:pPr>
        <w:pStyle w:val="3"/>
        <w:ind w:firstLine="0"/>
      </w:pPr>
    </w:p>
    <w:p>
      <w:pPr>
        <w:pStyle w:val="15"/>
        <w:numPr>
          <w:ilvl w:val="0"/>
          <w:numId w:val="2"/>
        </w:numPr>
        <w:jc w:val="left"/>
        <w:rPr>
          <w:rFonts w:ascii="宋体" w:hAnsi="宋体" w:eastAsia="宋体"/>
          <w:sz w:val="28"/>
          <w:szCs w:val="28"/>
        </w:rPr>
      </w:pPr>
      <w:bookmarkStart w:id="0" w:name="OLE_LINK1"/>
      <w:bookmarkStart w:id="1" w:name="OLE_LINK2"/>
      <w:r>
        <w:rPr>
          <w:rFonts w:hint="eastAsia" w:ascii="宋体" w:hAnsi="宋体" w:eastAsia="宋体"/>
          <w:sz w:val="28"/>
          <w:szCs w:val="28"/>
        </w:rPr>
        <w:t>转发器增益说明</w:t>
      </w:r>
    </w:p>
    <w:p>
      <w:pPr>
        <w:ind w:firstLine="480" w:firstLineChars="200"/>
        <w:rPr>
          <w:szCs w:val="21"/>
        </w:rPr>
      </w:pPr>
      <w:r>
        <w:rPr>
          <w:rFonts w:hint="eastAsia"/>
          <w:szCs w:val="21"/>
        </w:rPr>
        <w:t>GNSS信号转发器</w:t>
      </w:r>
      <w:bookmarkEnd w:id="0"/>
      <w:bookmarkEnd w:id="1"/>
      <w:r>
        <w:rPr>
          <w:rFonts w:hint="eastAsia"/>
          <w:szCs w:val="21"/>
        </w:rPr>
        <w:t>在GPS L1/BDS B1 频率点增益对应可调电位器校准。</w:t>
      </w:r>
    </w:p>
    <w:p>
      <w:pPr>
        <w:ind w:firstLine="480" w:firstLineChars="200"/>
        <w:rPr>
          <w:szCs w:val="21"/>
        </w:rPr>
      </w:pPr>
      <w:r>
        <w:rPr>
          <w:rFonts w:hint="eastAsia"/>
          <w:szCs w:val="21"/>
        </w:rPr>
        <w:t>允许增益误差  ：±0.5dB;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允许刻度误差  ：±0.02圈</w:t>
      </w:r>
    </w:p>
    <w:tbl>
      <w:tblPr>
        <w:tblStyle w:val="1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663"/>
        <w:gridCol w:w="1572"/>
        <w:gridCol w:w="1637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ind w:firstLine="24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增益(</w:t>
            </w:r>
            <w:r>
              <w:rPr>
                <w:szCs w:val="21"/>
              </w:rPr>
              <w:t>dB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电位器刻度（圈）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增益(</w:t>
            </w:r>
            <w:r>
              <w:rPr>
                <w:szCs w:val="21"/>
              </w:rPr>
              <w:t>dB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电位器刻度（圈）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0~0.8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1.2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1.4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1.6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1.7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1.86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1.94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2.02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2.10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2.18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2.30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2.36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2.46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2.58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2.70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2.86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3.00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3.18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3.38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1663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3.62</w:t>
            </w:r>
          </w:p>
        </w:tc>
        <w:tc>
          <w:tcPr>
            <w:tcW w:w="157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78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8.28~10.00</w:t>
            </w:r>
          </w:p>
        </w:tc>
      </w:tr>
    </w:tbl>
    <w:p>
      <w:pPr>
        <w:widowControl/>
        <w:rPr>
          <w:szCs w:val="21"/>
          <w:u w:val="thick"/>
        </w:rPr>
      </w:pP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备注：系统增益标称增益=</w:t>
      </w:r>
      <w:bookmarkStart w:id="2" w:name="OLE_LINK6"/>
      <w:bookmarkStart w:id="3" w:name="OLE_LINK5"/>
      <w:r>
        <w:rPr>
          <w:color w:val="000000" w:themeColor="text1"/>
          <w14:textFill>
            <w14:solidFill>
              <w14:schemeClr w14:val="tx1"/>
            </w14:solidFill>
          </w14:textFill>
        </w:rPr>
        <w:t>BDX-CX7624A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接收天线</w:t>
      </w:r>
      <w:bookmarkEnd w:id="2"/>
      <w:bookmarkEnd w:id="3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增益+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GNSS转发器增益+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BDX-CX7624A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发射天线增益。</w:t>
      </w:r>
    </w:p>
    <w:p>
      <w:pPr>
        <w:rPr>
          <w:color w:val="FF0000"/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BDX-CX7624A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接收天线在规格书中的标称增益为：典型值39</w:t>
      </w:r>
      <w:bookmarkStart w:id="4" w:name="OLE_LINK9"/>
      <w:bookmarkStart w:id="5" w:name="OLE_LINK11"/>
      <w:bookmarkStart w:id="6" w:name="OLE_LINK10"/>
      <w:r>
        <w:rPr>
          <w:color w:val="000000" w:themeColor="text1"/>
          <w14:textFill>
            <w14:solidFill>
              <w14:schemeClr w14:val="tx1"/>
            </w14:solidFill>
          </w14:textFill>
        </w:rPr>
        <w:t>dB</w:t>
      </w:r>
      <w:bookmarkEnd w:id="4"/>
      <w:bookmarkEnd w:id="5"/>
      <w:bookmarkEnd w:id="6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pStyle w:val="15"/>
        <w:numPr>
          <w:ilvl w:val="0"/>
          <w:numId w:val="2"/>
        </w:num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卫星天线</w:t>
      </w:r>
    </w:p>
    <w:p>
      <w:pPr>
        <w:pStyle w:val="3"/>
        <w:ind w:firstLine="480" w:firstLineChars="200"/>
      </w:pPr>
      <w:r>
        <w:rPr>
          <w:rFonts w:hint="eastAsia"/>
        </w:rPr>
        <w:t>卫星天线采用符合军标要求的航空型天线结构，天线外形结构图如下图3所示；天线安装方式通过4个M5螺栓固定，整体防水防雨设计，安装面带防水胶圈，天线接口采用</w:t>
      </w:r>
      <w:r>
        <w:t>TNC</w:t>
      </w:r>
      <w:r>
        <w:rPr>
          <w:rFonts w:hint="eastAsia"/>
        </w:rPr>
        <w:t>型插座。</w:t>
      </w:r>
    </w:p>
    <w:p>
      <w:pPr>
        <w:pStyle w:val="3"/>
        <w:ind w:firstLine="0"/>
        <w:jc w:val="center"/>
      </w:pPr>
      <w:r>
        <w:rPr>
          <w:rFonts w:hint="eastAsia"/>
        </w:rPr>
        <w:drawing>
          <wp:inline distT="0" distB="0" distL="0" distR="0">
            <wp:extent cx="5270500" cy="44259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/>
        <w:adjustRightInd/>
        <w:snapToGrid/>
        <w:ind w:firstLine="0"/>
        <w:jc w:val="center"/>
        <w:rPr>
          <w:rFonts w:hAnsi="宋体"/>
          <w:kern w:val="2"/>
        </w:rPr>
      </w:pPr>
      <w:r>
        <w:rPr>
          <w:rFonts w:hint="eastAsia" w:hAnsi="宋体"/>
          <w:kern w:val="2"/>
        </w:rPr>
        <w:t>图</w:t>
      </w:r>
      <w:r>
        <w:rPr>
          <w:rFonts w:hAnsi="宋体"/>
          <w:kern w:val="2"/>
        </w:rPr>
        <w:t xml:space="preserve">3 </w:t>
      </w:r>
      <w:r>
        <w:rPr>
          <w:rFonts w:hint="eastAsia" w:hAnsi="宋体"/>
          <w:kern w:val="2"/>
        </w:rPr>
        <w:t>卫星天线外形结构示意图</w:t>
      </w:r>
    </w:p>
    <w:p>
      <w:pPr>
        <w:ind w:firstLine="0"/>
      </w:pP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5.1 </w:t>
      </w:r>
      <w:r>
        <w:rPr>
          <w:rFonts w:hint="eastAsia"/>
          <w:sz w:val="24"/>
          <w:szCs w:val="24"/>
        </w:rPr>
        <w:t>物理电气</w:t>
      </w:r>
    </w:p>
    <w:p>
      <w:pPr>
        <w:pStyle w:val="35"/>
        <w:numPr>
          <w:ilvl w:val="0"/>
          <w:numId w:val="9"/>
        </w:numPr>
        <w:spacing w:line="360" w:lineRule="auto"/>
      </w:pPr>
      <w:r>
        <w:rPr>
          <w:rFonts w:hint="eastAsia"/>
        </w:rPr>
        <w:t>天线重量：0.185Kg</w:t>
      </w:r>
    </w:p>
    <w:p>
      <w:pPr>
        <w:pStyle w:val="35"/>
        <w:numPr>
          <w:ilvl w:val="0"/>
          <w:numId w:val="9"/>
        </w:numPr>
        <w:spacing w:line="360" w:lineRule="auto"/>
      </w:pPr>
      <w:r>
        <w:rPr>
          <w:rFonts w:hint="eastAsia"/>
        </w:rPr>
        <w:t>天线实测尺寸119.2</w:t>
      </w:r>
      <w:r>
        <w:t xml:space="preserve">mm x </w:t>
      </w:r>
      <w:r>
        <w:rPr>
          <w:rFonts w:hint="eastAsia"/>
        </w:rPr>
        <w:t>75.6</w:t>
      </w:r>
      <w:r>
        <w:t xml:space="preserve">mm x </w:t>
      </w:r>
      <w:r>
        <w:rPr>
          <w:rFonts w:hint="eastAsia"/>
        </w:rPr>
        <w:t>19.5</w:t>
      </w:r>
      <w:r>
        <w:t>mm （</w:t>
      </w:r>
      <w:r>
        <w:rPr>
          <w:rFonts w:hint="eastAsia" w:ascii="宋体" w:hAnsi="宋体"/>
        </w:rPr>
        <w:t>±</w:t>
      </w:r>
      <w:r>
        <w:t>1mm）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5.2 </w:t>
      </w:r>
      <w:r>
        <w:rPr>
          <w:rFonts w:hint="eastAsia"/>
          <w:sz w:val="24"/>
          <w:szCs w:val="24"/>
        </w:rPr>
        <w:t>技术参数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频率范围：1551~1620</w:t>
      </w:r>
      <w:r>
        <w:t>MHz</w:t>
      </w:r>
      <w:r>
        <w:rPr>
          <w:rFonts w:hint="eastAsia"/>
        </w:rPr>
        <w:t>.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LNA增益范围：</w:t>
      </w:r>
      <w:r>
        <w:t xml:space="preserve"> </w:t>
      </w:r>
      <w:r>
        <w:rPr>
          <w:rFonts w:hint="eastAsia"/>
        </w:rPr>
        <w:t>36dB.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带外抑制：最小50</w:t>
      </w:r>
      <w:r>
        <w:t xml:space="preserve"> dB（</w:t>
      </w:r>
      <w:r>
        <w:rPr>
          <w:rFonts w:hint="eastAsia"/>
        </w:rPr>
        <w:t>f</w:t>
      </w:r>
      <w:r>
        <w:rPr>
          <w:vertAlign w:val="subscript"/>
        </w:rPr>
        <w:t>0</w:t>
      </w:r>
      <w:r>
        <w:rPr>
          <w:rFonts w:hint="eastAsia" w:ascii="宋体" w:hAnsi="宋体"/>
        </w:rPr>
        <w:t>±</w:t>
      </w:r>
      <w:r>
        <w:t>100MH</w:t>
      </w:r>
      <w:r>
        <w:rPr>
          <w:rFonts w:hint="eastAsia"/>
        </w:rPr>
        <w:t>z</w:t>
      </w:r>
      <w:r>
        <w:t>）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输入驻波比：</w:t>
      </w:r>
      <w:r>
        <w:rPr>
          <w:rFonts w:hint="eastAsia" w:ascii="宋体" w:hAnsi="宋体"/>
        </w:rPr>
        <w:t>≤</w:t>
      </w:r>
      <w:r>
        <w:rPr>
          <w:rFonts w:hint="eastAsia"/>
        </w:rPr>
        <w:t>1.5</w:t>
      </w:r>
    </w:p>
    <w:p>
      <w:pPr>
        <w:pStyle w:val="35"/>
        <w:numPr>
          <w:ilvl w:val="0"/>
          <w:numId w:val="10"/>
        </w:numPr>
        <w:spacing w:line="360" w:lineRule="auto"/>
        <w:rPr>
          <w:rFonts w:cstheme="minorHAnsi"/>
          <w:sz w:val="21"/>
          <w:szCs w:val="21"/>
        </w:rPr>
      </w:pPr>
      <w:r>
        <w:rPr>
          <w:rFonts w:hint="eastAsia"/>
        </w:rPr>
        <w:t xml:space="preserve">阻 </w:t>
      </w:r>
      <w:r>
        <w:t xml:space="preserve">     </w:t>
      </w:r>
      <w:r>
        <w:rPr>
          <w:rFonts w:hint="eastAsia"/>
        </w:rPr>
        <w:t>抗：50欧姆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输入电压：</w:t>
      </w:r>
      <w:r>
        <w:t xml:space="preserve">DC </w:t>
      </w:r>
      <w:r>
        <w:rPr>
          <w:rFonts w:hint="eastAsia"/>
        </w:rPr>
        <w:t>3.3～12</w:t>
      </w:r>
      <w:r>
        <w:t>V，设备正常工作。</w:t>
      </w:r>
    </w:p>
    <w:p>
      <w:pPr>
        <w:pStyle w:val="35"/>
        <w:numPr>
          <w:ilvl w:val="0"/>
          <w:numId w:val="10"/>
        </w:numPr>
        <w:spacing w:line="360" w:lineRule="auto"/>
      </w:pPr>
      <w:r>
        <w:rPr>
          <w:rFonts w:hint="eastAsia"/>
        </w:rPr>
        <w:t>总 功 耗：0.25W，输入电压5V时电流50mA.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5.3 </w:t>
      </w:r>
      <w:r>
        <w:rPr>
          <w:rFonts w:hint="eastAsia"/>
          <w:sz w:val="24"/>
          <w:szCs w:val="24"/>
        </w:rPr>
        <w:t>环境适应性</w:t>
      </w:r>
    </w:p>
    <w:p>
      <w:pPr>
        <w:pStyle w:val="35"/>
        <w:numPr>
          <w:ilvl w:val="0"/>
          <w:numId w:val="11"/>
        </w:numPr>
        <w:spacing w:line="360" w:lineRule="auto"/>
      </w:pPr>
      <w:r>
        <w:rPr>
          <w:rFonts w:hint="eastAsia"/>
        </w:rPr>
        <w:t>工作温度：-</w:t>
      </w:r>
      <w:r>
        <w:t>40</w:t>
      </w:r>
      <w:r>
        <w:rPr>
          <w:rFonts w:hint="eastAsia" w:ascii="宋体" w:hAnsi="宋体"/>
        </w:rPr>
        <w:t>℃～</w:t>
      </w:r>
      <w:r>
        <w:t>+60</w:t>
      </w:r>
      <w:r>
        <w:rPr>
          <w:rFonts w:hint="eastAsia" w:ascii="宋体" w:hAnsi="宋体"/>
        </w:rPr>
        <w:t>℃</w:t>
      </w:r>
    </w:p>
    <w:p>
      <w:pPr>
        <w:pStyle w:val="35"/>
        <w:numPr>
          <w:ilvl w:val="0"/>
          <w:numId w:val="11"/>
        </w:numPr>
        <w:spacing w:line="360" w:lineRule="auto"/>
      </w:pPr>
      <w:r>
        <w:rPr>
          <w:rFonts w:hint="eastAsia"/>
        </w:rPr>
        <w:t>贮存温度：-55</w:t>
      </w:r>
      <w:r>
        <w:rPr>
          <w:rFonts w:hint="eastAsia" w:ascii="宋体" w:hAnsi="宋体"/>
        </w:rPr>
        <w:t>℃～</w:t>
      </w:r>
      <w:r>
        <w:t>+</w:t>
      </w:r>
      <w:r>
        <w:rPr>
          <w:rFonts w:hint="eastAsia"/>
        </w:rPr>
        <w:t>85</w:t>
      </w:r>
      <w:r>
        <w:rPr>
          <w:rFonts w:hint="eastAsia" w:ascii="宋体" w:hAnsi="宋体"/>
        </w:rPr>
        <w:t>℃</w:t>
      </w:r>
    </w:p>
    <w:p>
      <w:pPr>
        <w:pStyle w:val="35"/>
        <w:numPr>
          <w:ilvl w:val="0"/>
          <w:numId w:val="11"/>
        </w:numPr>
        <w:spacing w:line="360" w:lineRule="auto"/>
      </w:pPr>
      <w:r>
        <w:rPr>
          <w:rFonts w:hint="eastAsia"/>
        </w:rPr>
        <w:t>相对湿度：1</w:t>
      </w:r>
      <w:r>
        <w:t>0%</w:t>
      </w:r>
      <w:r>
        <w:rPr>
          <w:rFonts w:hint="eastAsia" w:ascii="宋体" w:hAnsi="宋体"/>
        </w:rPr>
        <w:t>～</w:t>
      </w:r>
      <w:r>
        <w:t>95%(25</w:t>
      </w:r>
      <w:r>
        <w:rPr>
          <w:rFonts w:hint="eastAsia" w:ascii="宋体" w:hAnsi="宋体"/>
        </w:rPr>
        <w:t>℃</w:t>
      </w:r>
      <w:r>
        <w:t>)</w:t>
      </w:r>
    </w:p>
    <w:p>
      <w:pPr>
        <w:pStyle w:val="35"/>
        <w:numPr>
          <w:ilvl w:val="0"/>
          <w:numId w:val="11"/>
        </w:numPr>
        <w:spacing w:line="360" w:lineRule="auto"/>
      </w:pPr>
      <w:r>
        <w:rPr>
          <w:rFonts w:hint="eastAsia"/>
        </w:rPr>
        <w:t>防雨性能：100%防雨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5.4 </w:t>
      </w:r>
      <w:r>
        <w:rPr>
          <w:rFonts w:hint="eastAsia"/>
          <w:sz w:val="24"/>
          <w:szCs w:val="24"/>
        </w:rPr>
        <w:t>接口定义</w:t>
      </w:r>
    </w:p>
    <w:p>
      <w:pPr>
        <w:pStyle w:val="35"/>
        <w:numPr>
          <w:ilvl w:val="0"/>
          <w:numId w:val="12"/>
        </w:numPr>
        <w:spacing w:line="360" w:lineRule="auto"/>
      </w:pPr>
      <w:r>
        <w:rPr>
          <w:rFonts w:hint="eastAsia"/>
        </w:rPr>
        <w:t xml:space="preserve">接收天线输出接口：TNC-F </w:t>
      </w:r>
    </w:p>
    <w:p>
      <w:pPr>
        <w:pStyle w:val="35"/>
        <w:numPr>
          <w:ilvl w:val="0"/>
          <w:numId w:val="12"/>
        </w:numPr>
        <w:spacing w:line="360" w:lineRule="auto"/>
        <w:ind w:left="420" w:firstLine="0"/>
      </w:pPr>
      <w:r>
        <w:rPr>
          <w:rFonts w:hint="eastAsia"/>
        </w:rPr>
        <w:t>发射天线输入接口：TNC-F</w:t>
      </w:r>
    </w:p>
    <w:p>
      <w:pPr>
        <w:pStyle w:val="15"/>
        <w:jc w:val="left"/>
        <w:rPr>
          <w:sz w:val="24"/>
          <w:szCs w:val="24"/>
        </w:rPr>
      </w:pPr>
      <w:r>
        <w:rPr>
          <w:sz w:val="24"/>
          <w:szCs w:val="24"/>
        </w:rPr>
        <w:t>5.5 天线辐射方向图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2752090" cy="3111500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4992" cy="3114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lotter">
    <w:altName w:val="Arial"/>
    <w:panose1 w:val="00000000000000000000"/>
    <w:charset w:val="00"/>
    <w:family w:val="roman"/>
    <w:pitch w:val="default"/>
    <w:sig w:usb0="00000000" w:usb1="00000000" w:usb2="BFF713E2" w:usb3="0000017F" w:csb0="BFE819E3" w:csb1="C29EEFE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66624A"/>
    <w:multiLevelType w:val="multilevel"/>
    <w:tmpl w:val="0466624A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10A5413D"/>
    <w:multiLevelType w:val="multilevel"/>
    <w:tmpl w:val="10A5413D"/>
    <w:lvl w:ilvl="0" w:tentative="0">
      <w:start w:val="1"/>
      <w:numFmt w:val="decimal"/>
      <w:pStyle w:val="2"/>
      <w:suff w:val="space"/>
      <w:lvlText w:val="%1 "/>
      <w:lvlJc w:val="left"/>
      <w:pPr>
        <w:ind w:left="1080" w:firstLine="0"/>
      </w:pPr>
      <w:rPr>
        <w:rFonts w:hint="eastAsia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1" w:tentative="0">
      <w:start w:val="1"/>
      <w:numFmt w:val="decimal"/>
      <w:pStyle w:val="4"/>
      <w:suff w:val="space"/>
      <w:lvlText w:val="%1.%2 "/>
      <w:lvlJc w:val="left"/>
      <w:pPr>
        <w:ind w:left="284" w:firstLine="0"/>
      </w:pPr>
      <w:rPr>
        <w:rFonts w:hint="eastAsia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2" w:tentative="0">
      <w:start w:val="1"/>
      <w:numFmt w:val="decimal"/>
      <w:pStyle w:val="5"/>
      <w:suff w:val="space"/>
      <w:lvlText w:val="%1.%2.%3 "/>
      <w:lvlJc w:val="left"/>
      <w:pPr>
        <w:ind w:left="567" w:firstLine="0"/>
      </w:pPr>
      <w:rPr>
        <w:rFonts w:hint="eastAsia" w:ascii="黑体" w:eastAsia="黑体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3" w:tentative="0">
      <w:start w:val="1"/>
      <w:numFmt w:val="decimal"/>
      <w:pStyle w:val="6"/>
      <w:suff w:val="space"/>
      <w:lvlText w:val="%1.%2.%3.%4 "/>
      <w:lvlJc w:val="left"/>
      <w:pPr>
        <w:ind w:left="0" w:firstLine="0"/>
      </w:pPr>
      <w:rPr>
        <w:rFonts w:hint="eastAsia" w:ascii="黑体" w:eastAsia="黑体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4" w:tentative="0">
      <w:start w:val="1"/>
      <w:numFmt w:val="decimal"/>
      <w:pStyle w:val="7"/>
      <w:suff w:val="space"/>
      <w:lvlText w:val="%1.%2.%3.%4.%5 "/>
      <w:lvlJc w:val="left"/>
      <w:pPr>
        <w:ind w:left="0" w:firstLine="0"/>
      </w:pPr>
      <w:rPr>
        <w:rFonts w:hint="eastAsia" w:ascii="黑体" w:eastAsia="黑体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5" w:tentative="0">
      <w:start w:val="1"/>
      <w:numFmt w:val="decimal"/>
      <w:pStyle w:val="8"/>
      <w:suff w:val="space"/>
      <w:lvlText w:val="%1.%2.%3.%4.%5.%6 "/>
      <w:lvlJc w:val="left"/>
      <w:pPr>
        <w:ind w:left="0" w:firstLine="0"/>
      </w:pPr>
      <w:rPr>
        <w:rFonts w:hint="eastAsia" w:ascii="黑体" w:eastAsia="黑体"/>
        <w:b w:val="0"/>
        <w:i w:val="0"/>
        <w:color w:val="auto"/>
        <w:spacing w:val="0"/>
        <w:w w:val="100"/>
        <w:kern w:val="0"/>
        <w:position w:val="0"/>
        <w:sz w:val="24"/>
        <w:u w:val="none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0" w:firstLine="0"/>
      </w:pPr>
      <w:rPr>
        <w:rFonts w:hint="eastAsia" w:ascii="黑体" w:eastAsia="黑体"/>
        <w:b w:val="0"/>
        <w:i w:val="0"/>
        <w:snapToGrid w:val="0"/>
        <w:color w:val="auto"/>
        <w:spacing w:val="0"/>
        <w:w w:val="100"/>
        <w:kern w:val="0"/>
        <w:position w:val="0"/>
        <w:sz w:val="24"/>
        <w:u w:val="none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0" w:firstLine="0"/>
      </w:pPr>
      <w:rPr>
        <w:rFonts w:hint="eastAsia" w:ascii="黑体" w:eastAsia="黑体"/>
        <w:b w:val="0"/>
        <w:i w:val="0"/>
        <w:color w:val="auto"/>
        <w:spacing w:val="0"/>
        <w:w w:val="100"/>
        <w:position w:val="0"/>
        <w:sz w:val="24"/>
        <w:u w:val="none"/>
      </w:rPr>
    </w:lvl>
    <w:lvl w:ilvl="8" w:tentative="0">
      <w:start w:val="1"/>
      <w:numFmt w:val="decimal"/>
      <w:pStyle w:val="11"/>
      <w:suff w:val="space"/>
      <w:lvlText w:val="%1.%2.%3.%4.%5.%6.%7.%8.%9"/>
      <w:lvlJc w:val="left"/>
      <w:pPr>
        <w:ind w:left="0" w:firstLine="0"/>
      </w:pPr>
      <w:rPr>
        <w:rFonts w:hint="eastAsia" w:ascii="黑体" w:eastAsia="黑体"/>
        <w:b w:val="0"/>
        <w:i w:val="0"/>
        <w:color w:val="auto"/>
        <w:spacing w:val="0"/>
        <w:w w:val="100"/>
        <w:position w:val="0"/>
        <w:sz w:val="24"/>
        <w:u w:val="none"/>
      </w:rPr>
    </w:lvl>
  </w:abstractNum>
  <w:abstractNum w:abstractNumId="2">
    <w:nsid w:val="1FCF7F22"/>
    <w:multiLevelType w:val="multilevel"/>
    <w:tmpl w:val="1FCF7F22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25B951D4"/>
    <w:multiLevelType w:val="multilevel"/>
    <w:tmpl w:val="25B951D4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2E5D643F"/>
    <w:multiLevelType w:val="multilevel"/>
    <w:tmpl w:val="2E5D643F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43635E11"/>
    <w:multiLevelType w:val="multilevel"/>
    <w:tmpl w:val="43635E11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49162321"/>
    <w:multiLevelType w:val="multilevel"/>
    <w:tmpl w:val="4916232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4C1211F5"/>
    <w:multiLevelType w:val="multilevel"/>
    <w:tmpl w:val="4C1211F5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4EA01CE0"/>
    <w:multiLevelType w:val="multilevel"/>
    <w:tmpl w:val="4EA01CE0"/>
    <w:lvl w:ilvl="0" w:tentative="0">
      <w:start w:val="1"/>
      <w:numFmt w:val="decimal"/>
      <w:lvlText w:val="%1."/>
      <w:lvlJc w:val="left"/>
      <w:pPr>
        <w:ind w:left="902" w:hanging="420"/>
      </w:p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58630B73"/>
    <w:multiLevelType w:val="multilevel"/>
    <w:tmpl w:val="58630B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8BB0933"/>
    <w:multiLevelType w:val="multilevel"/>
    <w:tmpl w:val="68BB0933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1">
    <w:nsid w:val="6C4C6413"/>
    <w:multiLevelType w:val="multilevel"/>
    <w:tmpl w:val="6C4C6413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5"/>
  </w:num>
  <w:num w:numId="5">
    <w:abstractNumId w:val="4"/>
  </w:num>
  <w:num w:numId="6">
    <w:abstractNumId w:val="10"/>
  </w:num>
  <w:num w:numId="7">
    <w:abstractNumId w:val="2"/>
  </w:num>
  <w:num w:numId="8">
    <w:abstractNumId w:val="6"/>
  </w:num>
  <w:num w:numId="9">
    <w:abstractNumId w:val="3"/>
  </w:num>
  <w:num w:numId="10">
    <w:abstractNumId w:val="11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549"/>
    <w:rsid w:val="0001275E"/>
    <w:rsid w:val="001D5B6E"/>
    <w:rsid w:val="003F479A"/>
    <w:rsid w:val="0046706C"/>
    <w:rsid w:val="004D4126"/>
    <w:rsid w:val="00987470"/>
    <w:rsid w:val="009F1785"/>
    <w:rsid w:val="00C35FD0"/>
    <w:rsid w:val="00C94549"/>
    <w:rsid w:val="00E11CAD"/>
    <w:rsid w:val="00E47C39"/>
    <w:rsid w:val="00ED51FB"/>
    <w:rsid w:val="00EE26AD"/>
    <w:rsid w:val="76636EA2"/>
    <w:rsid w:val="783E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djustRightInd w:val="0"/>
      <w:snapToGrid w:val="0"/>
      <w:spacing w:line="360" w:lineRule="auto"/>
      <w:ind w:firstLine="482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paragraph" w:styleId="2">
    <w:name w:val="heading 1"/>
    <w:next w:val="3"/>
    <w:link w:val="31"/>
    <w:qFormat/>
    <w:uiPriority w:val="0"/>
    <w:pPr>
      <w:numPr>
        <w:ilvl w:val="0"/>
        <w:numId w:val="1"/>
      </w:numPr>
      <w:adjustRightInd w:val="0"/>
      <w:snapToGrid w:val="0"/>
      <w:spacing w:before="240" w:after="240"/>
      <w:ind w:left="0"/>
      <w:outlineLvl w:val="0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4">
    <w:name w:val="heading 2"/>
    <w:next w:val="3"/>
    <w:link w:val="32"/>
    <w:qFormat/>
    <w:uiPriority w:val="0"/>
    <w:pPr>
      <w:numPr>
        <w:ilvl w:val="1"/>
        <w:numId w:val="1"/>
      </w:numPr>
      <w:adjustRightInd w:val="0"/>
      <w:snapToGrid w:val="0"/>
      <w:spacing w:line="360" w:lineRule="auto"/>
      <w:ind w:left="0"/>
      <w:outlineLvl w:val="1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5">
    <w:name w:val="heading 3"/>
    <w:next w:val="3"/>
    <w:link w:val="23"/>
    <w:qFormat/>
    <w:uiPriority w:val="0"/>
    <w:pPr>
      <w:numPr>
        <w:ilvl w:val="2"/>
        <w:numId w:val="1"/>
      </w:numPr>
      <w:adjustRightInd w:val="0"/>
      <w:snapToGrid w:val="0"/>
      <w:spacing w:line="360" w:lineRule="auto"/>
      <w:outlineLvl w:val="2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6">
    <w:name w:val="heading 4"/>
    <w:next w:val="3"/>
    <w:link w:val="24"/>
    <w:qFormat/>
    <w:uiPriority w:val="0"/>
    <w:pPr>
      <w:numPr>
        <w:ilvl w:val="3"/>
        <w:numId w:val="1"/>
      </w:numPr>
      <w:adjustRightInd w:val="0"/>
      <w:snapToGrid w:val="0"/>
      <w:spacing w:line="360" w:lineRule="auto"/>
      <w:outlineLvl w:val="3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7">
    <w:name w:val="heading 5"/>
    <w:next w:val="3"/>
    <w:link w:val="25"/>
    <w:qFormat/>
    <w:uiPriority w:val="0"/>
    <w:pPr>
      <w:numPr>
        <w:ilvl w:val="4"/>
        <w:numId w:val="1"/>
      </w:numPr>
      <w:adjustRightInd w:val="0"/>
      <w:snapToGrid w:val="0"/>
      <w:spacing w:line="360" w:lineRule="auto"/>
      <w:outlineLvl w:val="4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8">
    <w:name w:val="heading 6"/>
    <w:next w:val="3"/>
    <w:link w:val="26"/>
    <w:qFormat/>
    <w:uiPriority w:val="0"/>
    <w:pPr>
      <w:numPr>
        <w:ilvl w:val="5"/>
        <w:numId w:val="1"/>
      </w:numPr>
      <w:adjustRightInd w:val="0"/>
      <w:snapToGrid w:val="0"/>
      <w:spacing w:line="360" w:lineRule="auto"/>
      <w:outlineLvl w:val="5"/>
    </w:pPr>
    <w:rPr>
      <w:rFonts w:ascii="黑体" w:hAnsi="Times New Roman" w:eastAsia="黑体" w:cs="Times New Roman"/>
      <w:kern w:val="0"/>
      <w:sz w:val="24"/>
      <w:szCs w:val="24"/>
      <w:lang w:val="en-US" w:eastAsia="zh-CN" w:bidi="ar-SA"/>
    </w:rPr>
  </w:style>
  <w:style w:type="paragraph" w:styleId="9">
    <w:name w:val="heading 7"/>
    <w:basedOn w:val="1"/>
    <w:next w:val="1"/>
    <w:link w:val="27"/>
    <w:qFormat/>
    <w:uiPriority w:val="0"/>
    <w:pPr>
      <w:numPr>
        <w:ilvl w:val="6"/>
        <w:numId w:val="1"/>
      </w:numPr>
      <w:outlineLvl w:val="6"/>
    </w:pPr>
    <w:rPr>
      <w:rFonts w:ascii="黑体" w:eastAsia="黑体"/>
      <w:lang w:val="zh-CN" w:eastAsia="zh-CN"/>
    </w:rPr>
  </w:style>
  <w:style w:type="paragraph" w:styleId="10">
    <w:name w:val="heading 8"/>
    <w:basedOn w:val="1"/>
    <w:next w:val="1"/>
    <w:link w:val="28"/>
    <w:qFormat/>
    <w:uiPriority w:val="0"/>
    <w:pPr>
      <w:numPr>
        <w:ilvl w:val="7"/>
        <w:numId w:val="1"/>
      </w:numPr>
      <w:outlineLvl w:val="7"/>
    </w:pPr>
    <w:rPr>
      <w:rFonts w:ascii="黑体" w:eastAsia="黑体"/>
      <w:lang w:val="zh-CN" w:eastAsia="zh-CN"/>
    </w:rPr>
  </w:style>
  <w:style w:type="paragraph" w:styleId="11">
    <w:name w:val="heading 9"/>
    <w:basedOn w:val="1"/>
    <w:next w:val="1"/>
    <w:link w:val="29"/>
    <w:qFormat/>
    <w:uiPriority w:val="0"/>
    <w:pPr>
      <w:numPr>
        <w:ilvl w:val="8"/>
        <w:numId w:val="1"/>
      </w:numPr>
      <w:outlineLvl w:val="8"/>
    </w:pPr>
    <w:rPr>
      <w:rFonts w:ascii="黑体" w:eastAsia="黑体"/>
      <w:lang w:val="zh-CN" w:eastAsia="zh-CN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格式"/>
    <w:basedOn w:val="1"/>
    <w:link w:val="30"/>
    <w:uiPriority w:val="0"/>
    <w:rPr>
      <w:rFonts w:ascii="Calibri" w:hAnsi="Calibri"/>
    </w:rPr>
  </w:style>
  <w:style w:type="paragraph" w:styleId="12">
    <w:name w:val="Plain Text"/>
    <w:basedOn w:val="1"/>
    <w:link w:val="34"/>
    <w:uiPriority w:val="0"/>
    <w:pPr>
      <w:overflowPunct/>
      <w:adjustRightInd/>
      <w:snapToGrid/>
      <w:spacing w:line="240" w:lineRule="auto"/>
      <w:ind w:firstLine="0"/>
      <w:jc w:val="both"/>
    </w:pPr>
    <w:rPr>
      <w:rFonts w:ascii="宋体" w:hAnsi="Courier New" w:cs="Courier New"/>
      <w:kern w:val="2"/>
      <w:sz w:val="21"/>
      <w:szCs w:val="21"/>
    </w:rPr>
  </w:style>
  <w:style w:type="paragraph" w:styleId="13">
    <w:name w:val="footer"/>
    <w:basedOn w:val="1"/>
    <w:link w:val="2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5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7">
    <w:name w:val="Table Grid"/>
    <w:basedOn w:val="1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页眉 字符"/>
    <w:basedOn w:val="18"/>
    <w:link w:val="14"/>
    <w:uiPriority w:val="99"/>
    <w:rPr>
      <w:sz w:val="18"/>
      <w:szCs w:val="18"/>
    </w:rPr>
  </w:style>
  <w:style w:type="character" w:customStyle="1" w:styleId="20">
    <w:name w:val="页脚 字符"/>
    <w:basedOn w:val="18"/>
    <w:link w:val="13"/>
    <w:uiPriority w:val="99"/>
    <w:rPr>
      <w:sz w:val="18"/>
      <w:szCs w:val="18"/>
    </w:rPr>
  </w:style>
  <w:style w:type="character" w:customStyle="1" w:styleId="21">
    <w:name w:val="标题 1 字符"/>
    <w:basedOn w:val="18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">
    <w:name w:val="标题 2 字符"/>
    <w:basedOn w:val="18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23">
    <w:name w:val="标题 3 字符"/>
    <w:basedOn w:val="18"/>
    <w:link w:val="5"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24">
    <w:name w:val="标题 4 字符"/>
    <w:basedOn w:val="18"/>
    <w:link w:val="6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25">
    <w:name w:val="标题 5 字符"/>
    <w:basedOn w:val="18"/>
    <w:link w:val="7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26">
    <w:name w:val="标题 6 字符"/>
    <w:basedOn w:val="18"/>
    <w:link w:val="8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27">
    <w:name w:val="标题 7 字符"/>
    <w:basedOn w:val="18"/>
    <w:link w:val="9"/>
    <w:qFormat/>
    <w:uiPriority w:val="0"/>
    <w:rPr>
      <w:rFonts w:ascii="黑体" w:hAnsi="Times New Roman" w:eastAsia="黑体" w:cs="Times New Roman"/>
      <w:kern w:val="0"/>
      <w:sz w:val="24"/>
      <w:szCs w:val="24"/>
      <w:lang w:val="zh-CN" w:eastAsia="zh-CN"/>
    </w:rPr>
  </w:style>
  <w:style w:type="character" w:customStyle="1" w:styleId="28">
    <w:name w:val="标题 8 字符"/>
    <w:basedOn w:val="18"/>
    <w:link w:val="10"/>
    <w:qFormat/>
    <w:uiPriority w:val="0"/>
    <w:rPr>
      <w:rFonts w:ascii="黑体" w:hAnsi="Times New Roman" w:eastAsia="黑体" w:cs="Times New Roman"/>
      <w:kern w:val="0"/>
      <w:sz w:val="24"/>
      <w:szCs w:val="24"/>
      <w:lang w:val="zh-CN" w:eastAsia="zh-CN"/>
    </w:rPr>
  </w:style>
  <w:style w:type="character" w:customStyle="1" w:styleId="29">
    <w:name w:val="标题 9 字符"/>
    <w:basedOn w:val="18"/>
    <w:link w:val="11"/>
    <w:qFormat/>
    <w:uiPriority w:val="0"/>
    <w:rPr>
      <w:rFonts w:ascii="黑体" w:hAnsi="Times New Roman" w:eastAsia="黑体" w:cs="Times New Roman"/>
      <w:kern w:val="0"/>
      <w:sz w:val="24"/>
      <w:szCs w:val="24"/>
      <w:lang w:val="zh-CN" w:eastAsia="zh-CN"/>
    </w:rPr>
  </w:style>
  <w:style w:type="character" w:customStyle="1" w:styleId="30">
    <w:name w:val="正文格式 Char1"/>
    <w:link w:val="3"/>
    <w:qFormat/>
    <w:uiPriority w:val="0"/>
    <w:rPr>
      <w:rFonts w:ascii="Calibri" w:hAnsi="Calibri" w:eastAsia="宋体" w:cs="Times New Roman"/>
      <w:kern w:val="0"/>
      <w:sz w:val="24"/>
      <w:szCs w:val="24"/>
    </w:rPr>
  </w:style>
  <w:style w:type="character" w:customStyle="1" w:styleId="31">
    <w:name w:val="标题 1 字符1"/>
    <w:link w:val="2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32">
    <w:name w:val="标题 2 字符1"/>
    <w:link w:val="4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character" w:customStyle="1" w:styleId="33">
    <w:name w:val="纯文本 字符"/>
    <w:basedOn w:val="18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34">
    <w:name w:val="纯文本 字符1"/>
    <w:link w:val="12"/>
    <w:qFormat/>
    <w:uiPriority w:val="0"/>
    <w:rPr>
      <w:rFonts w:ascii="宋体" w:hAnsi="Courier New" w:eastAsia="宋体" w:cs="Courier New"/>
      <w:szCs w:val="21"/>
    </w:rPr>
  </w:style>
  <w:style w:type="paragraph" w:customStyle="1" w:styleId="35">
    <w:name w:val="文档正文"/>
    <w:basedOn w:val="1"/>
    <w:qFormat/>
    <w:uiPriority w:val="0"/>
    <w:pPr>
      <w:overflowPunct/>
      <w:snapToGrid/>
      <w:spacing w:line="240" w:lineRule="auto"/>
      <w:textAlignment w:val="baseline"/>
    </w:pPr>
    <w:rPr>
      <w:szCs w:val="20"/>
    </w:rPr>
  </w:style>
  <w:style w:type="paragraph" w:styleId="36">
    <w:name w:val="List Paragraph"/>
    <w:basedOn w:val="1"/>
    <w:qFormat/>
    <w:uiPriority w:val="34"/>
    <w:pPr>
      <w:widowControl/>
      <w:overflowPunct/>
      <w:adjustRightInd/>
      <w:snapToGrid/>
      <w:spacing w:after="160" w:line="259" w:lineRule="auto"/>
      <w:ind w:left="720" w:firstLine="0"/>
      <w:contextualSpacing/>
    </w:pPr>
    <w:rPr>
      <w:rFonts w:asciiTheme="minorHAnsi" w:hAnsiTheme="minorHAnsi" w:eastAsiaTheme="minorEastAsia" w:cstheme="minorBidi"/>
      <w:sz w:val="22"/>
      <w:szCs w:val="22"/>
      <w:lang w:eastAsia="en-US"/>
    </w:rPr>
  </w:style>
  <w:style w:type="character" w:customStyle="1" w:styleId="37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1255</Words>
  <Characters>1793</Characters>
  <Lines>14</Lines>
  <Paragraphs>4</Paragraphs>
  <TotalTime>25</TotalTime>
  <ScaleCrop>false</ScaleCrop>
  <LinksUpToDate>false</LinksUpToDate>
  <CharactersWithSpaces>1856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2021-06-18T08:12:00Z</dcterms:created>
  <dc:creator>琳 程</dc:creator>
  <cp:lastModifiedBy>独栖鸟</cp:lastModifiedBy>
  <dcterms:modified xsi:type="dcterms:W3CDTF">2022-10-26T10:14:12Z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F303391B28D44D449961C51851AA5AA2</vt:lpwstr>
  </property>
</Properties>
</file>