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tbl>
      <w:tblPr>
        <w:tblStyle w:val="1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4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7087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eastAsia="微软雅黑" w:cs="Times New Roman"/>
                <w:color w:val="000000"/>
                <w:sz w:val="72"/>
                <w:szCs w:val="72"/>
              </w:rPr>
            </w:pPr>
            <w:r>
              <w:rPr>
                <w:rFonts w:hint="eastAsia" w:eastAsia="微软雅黑" w:cs="Times New Roman"/>
                <w:color w:val="000000"/>
                <w:sz w:val="72"/>
                <w:szCs w:val="72"/>
              </w:rPr>
              <w:t>G</w:t>
            </w:r>
            <w:r>
              <w:rPr>
                <w:rFonts w:eastAsia="微软雅黑" w:cs="Times New Roman"/>
                <w:color w:val="000000"/>
                <w:sz w:val="72"/>
                <w:szCs w:val="72"/>
              </w:rPr>
              <w:t>NSS产品规范</w:t>
            </w: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772" w:type="dxa"/>
            <w:shd w:val="clear" w:color="auto" w:fill="auto"/>
            <w:vAlign w:val="center"/>
          </w:tcPr>
          <w:p>
            <w:pPr>
              <w:ind w:firstLine="440" w:firstLineChars="100"/>
              <w:rPr>
                <w:rFonts w:eastAsia="微软雅黑" w:cs="Times New Roman"/>
                <w:color w:val="000000"/>
                <w:sz w:val="44"/>
                <w:szCs w:val="44"/>
              </w:rPr>
            </w:pPr>
            <w:r>
              <w:rPr>
                <w:rFonts w:eastAsia="微软雅黑" w:cs="Times New Roman"/>
                <w:color w:val="000000"/>
                <w:sz w:val="44"/>
                <w:szCs w:val="44"/>
              </w:rPr>
              <w:t>产品名称：</w:t>
            </w:r>
          </w:p>
        </w:tc>
        <w:tc>
          <w:tcPr>
            <w:tcW w:w="4315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微软雅黑" w:cs="Times New Roman"/>
                <w:color w:val="000000"/>
                <w:sz w:val="44"/>
                <w:szCs w:val="44"/>
              </w:rPr>
            </w:pPr>
            <w:r>
              <w:rPr>
                <w:rFonts w:eastAsia="微软雅黑" w:cs="Times New Roman"/>
                <w:color w:val="000000"/>
                <w:sz w:val="44"/>
                <w:szCs w:val="44"/>
              </w:rPr>
              <w:t>BD500G OEM 板卡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772" w:type="dxa"/>
            <w:shd w:val="clear" w:color="auto" w:fill="FFFFFF"/>
            <w:vAlign w:val="center"/>
          </w:tcPr>
          <w:p>
            <w:pPr>
              <w:ind w:firstLine="440" w:firstLineChars="100"/>
              <w:jc w:val="center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</w:tc>
        <w:tc>
          <w:tcPr>
            <w:tcW w:w="4315" w:type="dxa"/>
            <w:shd w:val="clear" w:color="auto" w:fill="FFFFFF"/>
            <w:vAlign w:val="center"/>
          </w:tcPr>
          <w:p>
            <w:pPr>
              <w:ind w:firstLine="88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772" w:type="dxa"/>
            <w:shd w:val="clear" w:color="auto" w:fill="FFFFFF"/>
            <w:vAlign w:val="center"/>
          </w:tcPr>
          <w:p>
            <w:pPr>
              <w:ind w:firstLine="440" w:firstLineChars="100"/>
              <w:rPr>
                <w:rFonts w:eastAsia="微软雅黑" w:cs="Times New Roman"/>
                <w:color w:val="000000"/>
                <w:sz w:val="44"/>
                <w:szCs w:val="44"/>
              </w:rPr>
            </w:pPr>
            <w:r>
              <w:rPr>
                <w:rFonts w:eastAsia="微软雅黑" w:cs="Times New Roman"/>
                <w:color w:val="000000"/>
                <w:sz w:val="44"/>
                <w:szCs w:val="44"/>
              </w:rPr>
              <w:t>修订日期：</w:t>
            </w:r>
          </w:p>
        </w:tc>
        <w:tc>
          <w:tcPr>
            <w:tcW w:w="4315" w:type="dxa"/>
            <w:shd w:val="clear" w:color="auto" w:fill="FFFFFF"/>
            <w:vAlign w:val="center"/>
          </w:tcPr>
          <w:p>
            <w:pPr>
              <w:ind w:firstLine="880"/>
              <w:rPr>
                <w:rFonts w:hint="default" w:eastAsia="微软雅黑" w:cs="Times New Roman"/>
                <w:color w:val="000000"/>
                <w:sz w:val="44"/>
                <w:szCs w:val="44"/>
                <w:lang w:val="en-US" w:eastAsia="zh-CN"/>
              </w:rPr>
            </w:pPr>
            <w:r>
              <w:rPr>
                <w:rFonts w:eastAsia="微软雅黑" w:cs="Times New Roman"/>
                <w:color w:val="000000"/>
                <w:sz w:val="44"/>
                <w:szCs w:val="44"/>
              </w:rPr>
              <w:t>20</w:t>
            </w:r>
            <w:r>
              <w:rPr>
                <w:rFonts w:hint="eastAsia" w:eastAsia="微软雅黑" w:cs="Times New Roman"/>
                <w:color w:val="000000"/>
                <w:sz w:val="44"/>
                <w:szCs w:val="44"/>
              </w:rPr>
              <w:t>2</w:t>
            </w:r>
            <w:r>
              <w:rPr>
                <w:rFonts w:hint="eastAsia" w:eastAsia="微软雅黑" w:cs="Times New Roman"/>
                <w:color w:val="000000"/>
                <w:sz w:val="44"/>
                <w:szCs w:val="44"/>
                <w:lang w:val="en-US" w:eastAsia="zh-CN"/>
              </w:rPr>
              <w:t>2</w:t>
            </w:r>
            <w:r>
              <w:rPr>
                <w:rFonts w:eastAsia="微软雅黑" w:cs="Times New Roman"/>
                <w:color w:val="000000"/>
                <w:sz w:val="44"/>
                <w:szCs w:val="44"/>
              </w:rPr>
              <w:t>.</w:t>
            </w:r>
            <w:r>
              <w:rPr>
                <w:rFonts w:hint="eastAsia" w:eastAsia="微软雅黑" w:cs="Times New Roman"/>
                <w:color w:val="000000"/>
                <w:sz w:val="44"/>
                <w:szCs w:val="44"/>
                <w:lang w:val="en-US" w:eastAsia="zh-CN"/>
              </w:rPr>
              <w:t>02</w:t>
            </w:r>
            <w:r>
              <w:rPr>
                <w:rFonts w:eastAsia="微软雅黑" w:cs="Times New Roman"/>
                <w:color w:val="000000"/>
                <w:sz w:val="44"/>
                <w:szCs w:val="44"/>
              </w:rPr>
              <w:t>.</w:t>
            </w:r>
            <w:r>
              <w:rPr>
                <w:rFonts w:hint="eastAsia" w:eastAsia="微软雅黑" w:cs="Times New Roman"/>
                <w:color w:val="000000"/>
                <w:sz w:val="44"/>
                <w:szCs w:val="44"/>
                <w:lang w:val="en-US" w:eastAsia="zh-CN"/>
              </w:rPr>
              <w:t>25</w:t>
            </w:r>
          </w:p>
        </w:tc>
      </w:tr>
    </w:tbl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080" w:bottom="1440" w:left="108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ind w:firstLine="0" w:firstLineChars="0"/>
        <w:jc w:val="center"/>
        <w:rPr>
          <w:rFonts w:cs="Times New Roman"/>
          <w:b/>
          <w:bCs/>
          <w:sz w:val="52"/>
          <w:szCs w:val="52"/>
        </w:rPr>
      </w:pPr>
      <w:r>
        <w:rPr>
          <w:rFonts w:cs="Times New Roman"/>
          <w:b/>
          <w:bCs/>
          <w:sz w:val="52"/>
          <w:szCs w:val="52"/>
        </w:rPr>
        <w:t>目录</w:t>
      </w:r>
    </w:p>
    <w:sdt>
      <w:sdtPr>
        <w:rPr>
          <w:rFonts w:cs="Times New Roman"/>
          <w:sz w:val="21"/>
        </w:rPr>
        <w:id w:val="147479739"/>
        <w15:color w:val="DBDBDB"/>
        <w:docPartObj>
          <w:docPartGallery w:val="Table of Contents"/>
          <w:docPartUnique/>
        </w:docPartObj>
      </w:sdtPr>
      <w:sdtEndPr>
        <w:rPr>
          <w:rFonts w:cs="Times New Roman"/>
          <w:sz w:val="24"/>
        </w:rPr>
      </w:sdtEndPr>
      <w:sdtContent>
        <w:p>
          <w:pPr>
            <w:spacing w:line="240" w:lineRule="auto"/>
            <w:ind w:firstLine="0" w:firstLineChars="0"/>
            <w:jc w:val="center"/>
            <w:rPr>
              <w:rFonts w:cs="Times New Roman"/>
            </w:rPr>
          </w:pPr>
        </w:p>
        <w:p>
          <w:pPr>
            <w:pStyle w:val="13"/>
            <w:ind w:leftChars="0" w:firstLine="640"/>
            <w:rPr>
              <w:rFonts w:asciiTheme="minorHAnsi" w:hAnsiTheme="minorHAnsi" w:eastAsiaTheme="minorEastAsia"/>
              <w:sz w:val="21"/>
              <w:szCs w:val="22"/>
            </w:rPr>
          </w:pPr>
          <w:r>
            <w:rPr>
              <w:rFonts w:eastAsia="黑体" w:cs="Times New Roman"/>
              <w:sz w:val="32"/>
              <w:szCs w:val="32"/>
            </w:rPr>
            <w:fldChar w:fldCharType="begin"/>
          </w:r>
          <w:r>
            <w:rPr>
              <w:rFonts w:eastAsia="黑体" w:cs="Times New Roman"/>
              <w:sz w:val="32"/>
              <w:szCs w:val="32"/>
            </w:rPr>
            <w:instrText xml:space="preserve">TOC \o "1-1" \h \u </w:instrText>
          </w:r>
          <w:r>
            <w:rPr>
              <w:rFonts w:eastAsia="黑体" w:cs="Times New Roman"/>
              <w:sz w:val="32"/>
              <w:szCs w:val="32"/>
            </w:rPr>
            <w:fldChar w:fldCharType="separate"/>
          </w:r>
          <w:r>
            <w:fldChar w:fldCharType="begin"/>
          </w:r>
          <w:r>
            <w:instrText xml:space="preserve"> HYPERLINK \l "_Toc66279951" </w:instrText>
          </w:r>
          <w:r>
            <w:fldChar w:fldCharType="separate"/>
          </w:r>
          <w:r>
            <w:rPr>
              <w:rStyle w:val="17"/>
              <w:rFonts w:cs="Times New Roman"/>
            </w:rPr>
            <w:t>1. 简介</w:t>
          </w:r>
          <w:r>
            <w:tab/>
          </w:r>
          <w:r>
            <w:fldChar w:fldCharType="begin"/>
          </w:r>
          <w:r>
            <w:instrText xml:space="preserve"> PAGEREF _Toc66279951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3"/>
            <w:ind w:left="240"/>
            <w:rPr>
              <w:rFonts w:asciiTheme="minorHAnsi" w:hAnsiTheme="minorHAnsi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"_Toc66279952" </w:instrText>
          </w:r>
          <w:r>
            <w:fldChar w:fldCharType="separate"/>
          </w:r>
          <w:r>
            <w:rPr>
              <w:rStyle w:val="17"/>
              <w:rFonts w:cs="Times New Roman"/>
            </w:rPr>
            <w:t>2.</w:t>
          </w:r>
          <w:r>
            <w:rPr>
              <w:rFonts w:asciiTheme="minorHAnsi" w:hAnsiTheme="minorHAnsi" w:eastAsiaTheme="minorEastAsia"/>
              <w:sz w:val="21"/>
              <w:szCs w:val="22"/>
            </w:rPr>
            <w:tab/>
          </w:r>
          <w:r>
            <w:rPr>
              <w:rStyle w:val="17"/>
              <w:rFonts w:cs="Times New Roman"/>
            </w:rPr>
            <w:t>板卡技术规范</w:t>
          </w:r>
          <w:r>
            <w:tab/>
          </w:r>
          <w:r>
            <w:fldChar w:fldCharType="begin"/>
          </w:r>
          <w:r>
            <w:instrText xml:space="preserve"> PAGEREF _Toc66279952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3"/>
            <w:ind w:left="240"/>
            <w:rPr>
              <w:rFonts w:asciiTheme="minorHAnsi" w:hAnsiTheme="minorHAnsi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"_Toc66279953" </w:instrText>
          </w:r>
          <w:r>
            <w:fldChar w:fldCharType="separate"/>
          </w:r>
          <w:r>
            <w:rPr>
              <w:rStyle w:val="17"/>
              <w:rFonts w:cs="Times New Roman"/>
            </w:rPr>
            <w:t>3.</w:t>
          </w:r>
          <w:r>
            <w:rPr>
              <w:rFonts w:asciiTheme="minorHAnsi" w:hAnsiTheme="minorHAnsi" w:eastAsiaTheme="minorEastAsia"/>
              <w:sz w:val="21"/>
              <w:szCs w:val="22"/>
            </w:rPr>
            <w:tab/>
          </w:r>
          <w:r>
            <w:rPr>
              <w:rStyle w:val="17"/>
              <w:rFonts w:cs="Times New Roman"/>
            </w:rPr>
            <w:t>尺寸</w:t>
          </w:r>
          <w:r>
            <w:tab/>
          </w:r>
          <w:r>
            <w:fldChar w:fldCharType="begin"/>
          </w:r>
          <w:r>
            <w:instrText xml:space="preserve"> PAGEREF _Toc66279953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3"/>
            <w:ind w:left="240"/>
            <w:rPr>
              <w:rFonts w:asciiTheme="minorHAnsi" w:hAnsiTheme="minorHAnsi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"_Toc66279954" </w:instrText>
          </w:r>
          <w:r>
            <w:fldChar w:fldCharType="separate"/>
          </w:r>
          <w:r>
            <w:rPr>
              <w:rStyle w:val="17"/>
              <w:rFonts w:cs="Times New Roman"/>
            </w:rPr>
            <w:t>4.</w:t>
          </w:r>
          <w:r>
            <w:rPr>
              <w:rFonts w:asciiTheme="minorHAnsi" w:hAnsiTheme="minorHAnsi" w:eastAsiaTheme="minorEastAsia"/>
              <w:sz w:val="21"/>
              <w:szCs w:val="22"/>
            </w:rPr>
            <w:tab/>
          </w:r>
          <w:r>
            <w:rPr>
              <w:rStyle w:val="17"/>
              <w:rFonts w:cs="Times New Roman"/>
            </w:rPr>
            <w:t>管脚定义</w:t>
          </w:r>
          <w:r>
            <w:tab/>
          </w:r>
          <w:r>
            <w:fldChar w:fldCharType="begin"/>
          </w:r>
          <w:r>
            <w:instrText xml:space="preserve"> PAGEREF _Toc66279954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spacing w:line="720" w:lineRule="auto"/>
            <w:ind w:firstLine="0" w:firstLineChars="0"/>
            <w:rPr>
              <w:rFonts w:cs="Times New Roman"/>
            </w:rPr>
            <w:sectPr>
              <w:headerReference r:id="rId11" w:type="default"/>
              <w:pgSz w:w="11906" w:h="16838"/>
              <w:pgMar w:top="1440" w:right="1080" w:bottom="1440" w:left="1080" w:header="851" w:footer="992" w:gutter="0"/>
              <w:cols w:space="425" w:num="1"/>
              <w:docGrid w:type="lines" w:linePitch="312" w:charSpace="0"/>
            </w:sectPr>
          </w:pPr>
          <w:r>
            <w:rPr>
              <w:rFonts w:eastAsia="黑体" w:cs="Times New Roman"/>
              <w:sz w:val="32"/>
              <w:szCs w:val="32"/>
            </w:rPr>
            <w:fldChar w:fldCharType="end"/>
          </w:r>
        </w:p>
      </w:sdtContent>
    </w:sdt>
    <w:p>
      <w:pPr>
        <w:pStyle w:val="2"/>
        <w:spacing w:after="312"/>
        <w:rPr>
          <w:rFonts w:cs="Times New Roman"/>
        </w:rPr>
      </w:pPr>
      <w:bookmarkStart w:id="0" w:name="_Toc66279951"/>
      <w:r>
        <w:rPr>
          <w:rFonts w:cs="Times New Roman"/>
        </w:rPr>
        <w:t>简介</w:t>
      </w:r>
      <w:bookmarkEnd w:id="0"/>
    </w:p>
    <w:p>
      <w:pPr>
        <w:ind w:firstLine="480"/>
        <w:jc w:val="left"/>
        <w:rPr>
          <w:rFonts w:cs="Times New Roman"/>
        </w:rPr>
      </w:pPr>
      <w:r>
        <w:rPr>
          <w:rFonts w:cs="Times New Roman"/>
        </w:rPr>
        <w:t>西安北斗星 BD500G OEM 板卡是一款基于自主研发的GNSS多系统高精度定位</w:t>
      </w:r>
      <w:r>
        <w:rPr>
          <w:rFonts w:hint="eastAsia" w:cs="Times New Roman"/>
        </w:rPr>
        <w:t>定向</w:t>
      </w:r>
      <w:r>
        <w:rPr>
          <w:rFonts w:cs="Times New Roman"/>
        </w:rPr>
        <w:t>板卡。尺寸小、功耗低、重量轻。目前支持 GPS, BDS, GLONASS和 QZSS</w:t>
      </w:r>
      <w:r>
        <w:rPr>
          <w:rFonts w:hint="eastAsia" w:cs="Times New Roman"/>
        </w:rPr>
        <w:t>，</w:t>
      </w:r>
      <w:r>
        <w:rPr>
          <w:rFonts w:cs="Times New Roman"/>
        </w:rPr>
        <w:t xml:space="preserve">Galileo </w:t>
      </w:r>
      <w:r>
        <w:rPr>
          <w:rFonts w:hint="eastAsia" w:cs="Times New Roman"/>
        </w:rPr>
        <w:t>或</w:t>
      </w:r>
      <w:r>
        <w:rPr>
          <w:rFonts w:cs="Times New Roman"/>
        </w:rPr>
        <w:t>北斗全球信号。</w:t>
      </w:r>
    </w:p>
    <w:p>
      <w:pPr>
        <w:ind w:firstLine="480"/>
        <w:jc w:val="center"/>
        <w:rPr>
          <w:rFonts w:cs="Times New Roman"/>
        </w:rPr>
      </w:pPr>
      <w:r>
        <w:drawing>
          <wp:inline distT="0" distB="0" distL="0" distR="0">
            <wp:extent cx="2793365" cy="1936750"/>
            <wp:effectExtent l="0" t="0" r="10795" b="13970"/>
            <wp:docPr id="5" name="图片 5" descr="D:\2021宣传册更新\产品拍照\板卡\板卡精修\BD500G.jpgBD500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2021宣传册更新\产品拍照\板卡\板卡精修\BD500G.jpgBD500G"/>
                    <pic:cNvPicPr>
                      <a:picLocks noChangeAspect="1"/>
                    </pic:cNvPicPr>
                  </pic:nvPicPr>
                  <pic:blipFill>
                    <a:blip r:embed="rId13"/>
                    <a:srcRect l="18644" t="21954" r="17224" b="11341"/>
                    <a:stretch>
                      <a:fillRect/>
                    </a:stretch>
                  </pic:blipFill>
                  <pic:spPr>
                    <a:xfrm>
                      <a:off x="0" y="0"/>
                      <a:ext cx="2793365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cs="Times New Roman"/>
        </w:rPr>
      </w:pPr>
      <w:r>
        <w:rPr>
          <w:rFonts w:hint="eastAsia" w:cs="Times New Roman"/>
        </w:rPr>
        <w:t>图1</w:t>
      </w:r>
      <w:r>
        <w:rPr>
          <w:rFonts w:cs="Times New Roman"/>
        </w:rPr>
        <w:t xml:space="preserve"> BD500G</w:t>
      </w:r>
    </w:p>
    <w:p>
      <w:pPr>
        <w:pStyle w:val="2"/>
        <w:spacing w:after="312"/>
        <w:rPr>
          <w:rFonts w:cs="Times New Roman"/>
        </w:rPr>
      </w:pPr>
      <w:bookmarkStart w:id="1" w:name="_Toc66279952"/>
      <w:r>
        <w:rPr>
          <w:rFonts w:cs="Times New Roman"/>
        </w:rPr>
        <w:t>板卡技术规范</w:t>
      </w:r>
      <w:bookmarkEnd w:id="1"/>
    </w:p>
    <w:p>
      <w:pPr>
        <w:ind w:firstLine="480"/>
        <w:rPr>
          <w:rFonts w:cs="Times New Roman"/>
        </w:rPr>
      </w:pPr>
      <w:r>
        <w:rPr>
          <w:rFonts w:cs="Times New Roman"/>
        </w:rPr>
        <w:t>下表中为北斗星 BD500G OEM 板卡的详细规范。同时，还列出了该板卡的各项技术性能，以及它的物理接口和电气接口参数。</w:t>
      </w:r>
    </w:p>
    <w:p>
      <w:pPr>
        <w:ind w:firstLine="420"/>
        <w:jc w:val="center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表1  BD500G 规范</w:t>
      </w:r>
    </w:p>
    <w:tbl>
      <w:tblPr>
        <w:tblStyle w:val="14"/>
        <w:tblW w:w="5000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1002"/>
        <w:gridCol w:w="2201"/>
        <w:gridCol w:w="52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5000" w:type="pct"/>
            <w:gridSpan w:val="4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0" w:space="0"/>
            </w:tcBorders>
            <w:shd w:val="clear" w:color="auto" w:fill="4F81BD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2"/>
              <w:jc w:val="center"/>
              <w:textAlignment w:val="center"/>
              <w:rPr>
                <w:rFonts w:cs="Times New Roman"/>
                <w:color w:val="FFFFFF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1"/>
                <w:szCs w:val="21"/>
                <w:lang w:bidi="ar"/>
              </w:rPr>
              <w:t>BD500G 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GNSS 信号</w:t>
            </w:r>
          </w:p>
        </w:tc>
        <w:tc>
          <w:tcPr>
            <w:tcW w:w="513" w:type="pct"/>
            <w:vMerge w:val="restart"/>
            <w:tcBorders>
              <w:top w:val="single" w:color="4F81BD" w:sz="8" w:space="0"/>
              <w:left w:val="dotted" w:color="auto" w:sz="4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定位</w:t>
            </w:r>
          </w:p>
        </w:tc>
        <w:tc>
          <w:tcPr>
            <w:tcW w:w="1126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 xml:space="preserve">GPS 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L1C/A,L2C,L2P,L5,L1C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8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513" w:type="pct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126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BDS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B1I,B2I,B3I,B1C,B2a,B2b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513" w:type="pct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126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 xml:space="preserve">GLONASS 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G1,G2,G3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513" w:type="pct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126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G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alileo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E1,E5b,E5a,E6,E5 AltBoc*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513" w:type="pct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126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Q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ZSS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hint="default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L1,L2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513" w:type="pct"/>
            <w:vMerge w:val="continue"/>
            <w:tcBorders>
              <w:left w:val="dotted" w:color="auto" w:sz="4" w:space="0"/>
              <w:bottom w:val="single" w:color="5B9BD5" w:themeColor="accent1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126" w:type="pct"/>
            <w:tcBorders>
              <w:top w:val="single" w:color="4F81BD" w:sz="8" w:space="0"/>
              <w:left w:val="dotted" w:color="auto" w:sz="4" w:space="0"/>
              <w:bottom w:val="single" w:color="5B9BD5" w:themeColor="accent1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S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BAS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L1,L5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首次定位时间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冷启动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 xml:space="preserve">&lt; 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0s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温启动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 xml:space="preserve">&lt; 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0s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热启动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&lt; 1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88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信号捕捉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失锁重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>捕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＜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cs="Times New Roman"/>
                <w:color w:val="000000"/>
                <w:sz w:val="21"/>
                <w:szCs w:val="21"/>
              </w:rPr>
              <w:t>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测量准确度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伪距精度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≤10</w:t>
            </w:r>
            <w:r>
              <w:rPr>
                <w:rFonts w:cs="Times New Roman"/>
                <w:color w:val="000000"/>
                <w:sz w:val="21"/>
                <w:szCs w:val="21"/>
              </w:rPr>
              <w:t>cm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840" w:firstLineChars="4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载波相位精度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≤0.005</w:t>
            </w:r>
            <w:r>
              <w:rPr>
                <w:rFonts w:cs="Times New Roman"/>
                <w:color w:val="000000"/>
                <w:sz w:val="21"/>
                <w:szCs w:val="21"/>
              </w:rPr>
              <w:t>c(c:</w:t>
            </w:r>
            <w:r>
              <w:rPr>
                <w:rFonts w:hint="eastAsia" w:cs="Times New Roman"/>
                <w:color w:val="000000"/>
                <w:sz w:val="21"/>
                <w:szCs w:val="21"/>
              </w:rPr>
              <w:t>载波波长，单位：米)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精度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授时精度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20ns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735" w:firstLineChars="35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标准单点定位精度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单频: H≤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1.5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m, V≤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.0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m (1σ, PDOP≤4)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vMerge w:val="restar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840" w:firstLineChars="4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静态差分精度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H: ±(2.5+1×10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-6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×D)mm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vMerge w:val="continue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V: ±(5.0+1×10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-6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×D)mm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测姿精度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945" w:firstLineChars="450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航向角精度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(0.2/R)°R 为基线距离，单位为米。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840" w:firstLineChars="400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横滚或俯仰角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(0.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/R)°R 为基线距离，单位为米。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RTK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638" w:firstLineChars="304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RTK 初始化时间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&lt; 10s（baseline&lt;10km，基线长小于 10km）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840" w:firstLineChars="400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初始化置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信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度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&gt; 99.9%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vMerge w:val="restar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840" w:firstLineChars="4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动态差分精度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H: ±(10+1×10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-6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×D)mm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vMerge w:val="continue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V: ±(20+1×10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-6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×D)mm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数据速率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840" w:firstLineChars="400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观测量&amp;PVT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1Hz, 2Hz, 5Hz, 10Hz, 20Hz，50Hz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630" w:firstLineChars="300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RTK：定位&amp;定向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1Hz、5Hz、10Hz、20Hz、50Hz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right w:val="dotted" w:color="auto" w:sz="4" w:space="0"/>
            </w:tcBorders>
            <w:shd w:val="clear" w:color="auto" w:fill="D9E2F3" w:themeFill="accent5" w:themeFillTint="33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动态性能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1365" w:firstLineChars="650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高度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0" w:firstLineChars="1000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2000m/无限制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D9E2F3" w:themeFill="accent5" w:themeFillTint="33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1365" w:firstLineChars="650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速度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 xml:space="preserve">               515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m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/s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/无限制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continue"/>
            <w:tcBorders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D9E2F3" w:themeFill="accent5" w:themeFillTint="33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1260" w:firstLineChars="600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加速度</w:t>
            </w:r>
          </w:p>
        </w:tc>
        <w:tc>
          <w:tcPr>
            <w:tcW w:w="2673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hint="default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＜15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电气特性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供电电压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3.3V~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5V ± </w:t>
            </w:r>
            <w:r>
              <w:rPr>
                <w:rFonts w:hint="eastAsia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%VDC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260" w:firstLineChars="6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功耗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1W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环境要求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工作温度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-40℃ — +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存储温度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-55℃ — +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95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输出数据格式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NMEA-0183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GPGGA, GPGGARTK, GPGSV, GPGLL, GPGSA, GPGST,GPHDT, GPRMC, GPVTG, GPZDA etc.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CMR (GPS)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CMROBS, CMRREF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RTCM2.X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RTCM1, RTCM3, RTCM9, RTCM1819, RTCM31,RTCM59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RTCM3.0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1004, 1005, 1006, 1007, 1008, 1011, 1012, 1104,1033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RTCM3.2 MSM4 &amp; MSM5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1074, 1084, 1124, 1075, 1085, 1125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天线接口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840" w:firstLineChars="4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天线连接器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50Ω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735" w:firstLineChars="35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天线供电电压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+5V±2%VDC</w:t>
            </w:r>
          </w:p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内部供电：由板卡的射频连接器的中心导体供电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688" w:type="pct"/>
            <w:vMerge w:val="continue"/>
            <w:tcBorders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15" w:firstLineChars="15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LNA Gain 天线增益要求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20 ~ 40dB （suggested 建议）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688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硬件接口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1155" w:firstLineChars="550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I</w:t>
            </w:r>
            <w:r>
              <w:rPr>
                <w:rFonts w:cs="Times New Roman"/>
                <w:color w:val="000000"/>
                <w:sz w:val="21"/>
                <w:szCs w:val="21"/>
              </w:rPr>
              <w:t>/O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hint="default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pin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*2</w:t>
            </w:r>
            <w:bookmarkStart w:id="4" w:name="_GoBack"/>
            <w:bookmarkEnd w:id="4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68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物理参数</w:t>
            </w: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尺寸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100mm×60mm×11.5mm（含接头）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68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1050" w:firstLineChars="500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重量</w:t>
            </w:r>
          </w:p>
        </w:tc>
        <w:tc>
          <w:tcPr>
            <w:tcW w:w="2673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42.1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克</w:t>
            </w:r>
          </w:p>
        </w:tc>
      </w:tr>
    </w:tbl>
    <w:p>
      <w:pPr>
        <w:ind w:firstLine="420"/>
        <w:jc w:val="center"/>
        <w:rPr>
          <w:rFonts w:cs="Times New Roman"/>
          <w:sz w:val="21"/>
          <w:szCs w:val="21"/>
        </w:rPr>
      </w:pPr>
    </w:p>
    <w:p>
      <w:pPr>
        <w:pStyle w:val="2"/>
        <w:spacing w:after="312"/>
        <w:rPr>
          <w:rFonts w:cs="Times New Roman"/>
        </w:rPr>
      </w:pPr>
      <w:bookmarkStart w:id="2" w:name="_Toc66279953"/>
      <w:r>
        <w:rPr>
          <w:rFonts w:cs="Times New Roman"/>
        </w:rPr>
        <w:t>尺寸</w:t>
      </w:r>
      <w:bookmarkEnd w:id="2"/>
    </w:p>
    <w:p>
      <w:pPr>
        <w:ind w:firstLine="480"/>
        <w:rPr>
          <w:rFonts w:cs="Times New Roman"/>
        </w:rPr>
      </w:pPr>
      <w:r>
        <w:rPr>
          <w:rFonts w:cs="Times New Roman"/>
        </w:rPr>
        <w:t>本节提供了 BD500G 的三视图和对应的物理尺寸，便于用户进一步系统硬件设计和安装。</w:t>
      </w:r>
    </w:p>
    <w:p>
      <w:pPr>
        <w:ind w:firstLine="480"/>
        <w:rPr>
          <w:rFonts w:cs="Times New Roman"/>
        </w:rPr>
      </w:pPr>
    </w:p>
    <w:p>
      <w:pPr>
        <w:ind w:firstLine="0" w:firstLineChars="0"/>
        <w:jc w:val="center"/>
        <w:rPr>
          <w:rFonts w:cs="Times New Roman"/>
        </w:rPr>
      </w:pPr>
      <w:r>
        <w:drawing>
          <wp:inline distT="0" distB="0" distL="0" distR="0">
            <wp:extent cx="4624705" cy="253365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35335" cy="2539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/>
        </w:rPr>
        <w:t xml:space="preserve"> </w:t>
      </w: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jc w:val="center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图2  BD500G 三视图</w:t>
      </w:r>
    </w:p>
    <w:p>
      <w:pPr>
        <w:pStyle w:val="2"/>
        <w:spacing w:after="312"/>
        <w:rPr>
          <w:rFonts w:cs="Times New Roman"/>
        </w:rPr>
      </w:pPr>
      <w:bookmarkStart w:id="3" w:name="_Toc66279954"/>
      <w:r>
        <w:rPr>
          <w:rFonts w:hint="eastAsia" w:cs="Times New Roman"/>
        </w:rPr>
        <w:t>管脚定义</w:t>
      </w:r>
      <w:bookmarkEnd w:id="3"/>
    </w:p>
    <w:p>
      <w:pPr>
        <w:ind w:firstLine="420"/>
        <w:jc w:val="center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 xml:space="preserve">表2 BD500G </w:t>
      </w:r>
      <w:r>
        <w:rPr>
          <w:rFonts w:hint="eastAsia" w:cs="Times New Roman"/>
          <w:sz w:val="21"/>
          <w:szCs w:val="21"/>
        </w:rPr>
        <w:t>针脚定义</w:t>
      </w:r>
      <w:r>
        <w:drawing>
          <wp:inline distT="0" distB="0" distL="0" distR="0">
            <wp:extent cx="7441565" cy="5504180"/>
            <wp:effectExtent l="0" t="2857" r="4127" b="4128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51925" cy="551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right" w:pos="9746"/>
      </w:tabs>
      <w:ind w:firstLine="1260" w:firstLineChars="700"/>
      <w:rPr>
        <w:rFonts w:ascii="华文仿宋" w:hAnsi="华文仿宋" w:eastAsia="华文仿宋" w:cs="华文仿宋"/>
        <w:i/>
        <w:iCs/>
      </w:rPr>
    </w:pPr>
    <w:r>
      <w:rPr>
        <w:rFonts w:hint="eastAsia" w:ascii="华文仿宋" w:hAnsi="华文仿宋" w:eastAsia="华文仿宋" w:cs="华文仿宋"/>
        <w:i/>
        <w:iCs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5600700</wp:posOffset>
              </wp:positionH>
              <wp:positionV relativeFrom="paragraph">
                <wp:posOffset>25400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  <w:p>
                          <w:pPr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1pt;margin-top:2pt;height:144pt;width:144pt;mso-position-horizontal-relative:margin;mso-wrap-style:none;z-index:251659264;mso-width-relative:page;mso-height-relative:page;" filled="f" stroked="f" coordsize="21600,21600" o:gfxdata="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xkTmR1gAAAAoBAAAPAAAAAAAAAAEAIAAAACIAAABkcnMvZG93bnJldi54bWxQSwECFAAU&#10;AAAACACHTuJAK+3r1iwCAABXBAAADgAAAAAAAAABACAAAAAl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ind w:firstLine="360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  <w:p>
                    <w:pPr>
                      <w:ind w:firstLine="480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华文仿宋" w:hAnsi="华文仿宋" w:eastAsia="华文仿宋" w:cs="华文仿宋"/>
        <w:i/>
        <w:iCs/>
      </w:rPr>
      <w:t xml:space="preserve">地址：西安市高新区丈八二路31号   网址： </w:t>
    </w:r>
    <w:r>
      <w:fldChar w:fldCharType="begin"/>
    </w:r>
    <w:r>
      <w:instrText xml:space="preserve"> HYPERLINK "http://www.beidoucompass.com" </w:instrText>
    </w:r>
    <w:r>
      <w:fldChar w:fldCharType="separate"/>
    </w:r>
    <w:r>
      <w:rPr>
        <w:rStyle w:val="17"/>
        <w:rFonts w:hint="eastAsia" w:ascii="华文仿宋" w:hAnsi="华文仿宋" w:eastAsia="华文仿宋" w:cs="华文仿宋"/>
        <w:i/>
        <w:iCs/>
      </w:rPr>
      <w:t>www.beidoucompass.com</w:t>
    </w:r>
    <w:r>
      <w:rPr>
        <w:rStyle w:val="17"/>
        <w:rFonts w:hint="eastAsia" w:ascii="华文仿宋" w:hAnsi="华文仿宋" w:eastAsia="华文仿宋" w:cs="华文仿宋"/>
        <w:i/>
        <w:iCs/>
      </w:rPr>
      <w:fldChar w:fldCharType="end"/>
    </w:r>
    <w:r>
      <w:rPr>
        <w:rFonts w:hint="eastAsia" w:ascii="华文仿宋" w:hAnsi="华文仿宋" w:eastAsia="华文仿宋" w:cs="华文仿宋"/>
        <w:i/>
        <w:iCs/>
      </w:rPr>
      <w:t xml:space="preserve">   电话：029-81123003</w:t>
    </w:r>
    <w:r>
      <w:rPr>
        <w:rFonts w:hint="eastAsia" w:ascii="华文仿宋" w:hAnsi="华文仿宋" w:eastAsia="华文仿宋" w:cs="华文仿宋"/>
        <w:i/>
        <w:iCs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  <w:p>
    <w:pPr>
      <w:pStyle w:val="12"/>
      <w:pBdr>
        <w:bottom w:val="thickThinSmallGap" w:color="0000FF" w:sz="12" w:space="1"/>
      </w:pBdr>
      <w:ind w:firstLine="360"/>
      <w:rPr>
        <w:rFonts w:ascii="微软雅黑 Light" w:hAnsi="微软雅黑 Light"/>
        <w:b/>
        <w:bCs/>
        <w:i/>
        <w:iCs/>
        <w:color w:val="0000FF"/>
        <w:sz w:val="44"/>
        <w:szCs w:val="44"/>
        <w:vertAlign w:val="superscript"/>
      </w:rPr>
    </w:pPr>
    <w:r>
      <w:rPr>
        <w:color w:val="0070C0"/>
      </w:rPr>
      <w:drawing>
        <wp:inline distT="0" distB="0" distL="114300" distR="114300">
          <wp:extent cx="1138555" cy="351155"/>
          <wp:effectExtent l="0" t="0" r="4445" b="14605"/>
          <wp:docPr id="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8555" cy="351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color w:val="0070C0"/>
      </w:rPr>
      <w:t xml:space="preserve">                                                 </w:t>
    </w:r>
    <w:r>
      <w:rPr>
        <w:rFonts w:hint="eastAsia"/>
        <w:color w:val="0000FF"/>
      </w:rPr>
      <w:t xml:space="preserve"> </w:t>
    </w:r>
    <w:r>
      <w:rPr>
        <w:rFonts w:hint="eastAsia"/>
        <w:color w:val="0000FF"/>
        <w:vertAlign w:val="superscript"/>
      </w:rPr>
      <w:t xml:space="preserve"> </w:t>
    </w:r>
    <w:r>
      <w:rPr>
        <w:rFonts w:hint="eastAsia" w:ascii="微软雅黑 Light" w:hAnsi="微软雅黑 Light"/>
        <w:b/>
        <w:bCs/>
        <w:i/>
        <w:iCs/>
        <w:color w:val="0000FF"/>
        <w:sz w:val="44"/>
        <w:szCs w:val="44"/>
        <w:vertAlign w:val="superscript"/>
      </w:rPr>
      <w:t>西安北斗星导航技术有限公司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  <w:p>
    <w:pPr>
      <w:pStyle w:val="12"/>
      <w:pBdr>
        <w:bottom w:val="thickThinSmallGap" w:color="0000FF" w:sz="12" w:space="1"/>
      </w:pBdr>
      <w:ind w:firstLine="360"/>
      <w:rPr>
        <w:rFonts w:ascii="微软雅黑 Light" w:hAnsi="微软雅黑 Light"/>
        <w:b/>
        <w:bCs/>
        <w:i/>
        <w:iCs/>
        <w:color w:val="0000FF"/>
        <w:sz w:val="44"/>
        <w:szCs w:val="44"/>
        <w:vertAlign w:val="superscript"/>
      </w:rPr>
    </w:pPr>
    <w:r>
      <w:rPr>
        <w:color w:val="0070C0"/>
      </w:rPr>
      <w:drawing>
        <wp:inline distT="0" distB="0" distL="114300" distR="114300">
          <wp:extent cx="1138555" cy="351155"/>
          <wp:effectExtent l="0" t="0" r="4445" b="1460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8555" cy="351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color w:val="0070C0"/>
      </w:rPr>
      <w:t xml:space="preserve">                                                 </w:t>
    </w:r>
    <w:r>
      <w:rPr>
        <w:rFonts w:hint="eastAsia"/>
        <w:color w:val="0000FF"/>
      </w:rPr>
      <w:t xml:space="preserve"> </w:t>
    </w:r>
    <w:r>
      <w:rPr>
        <w:rFonts w:hint="eastAsia"/>
        <w:color w:val="0000FF"/>
        <w:vertAlign w:val="superscript"/>
      </w:rPr>
      <w:t xml:space="preserve"> </w:t>
    </w:r>
    <w:r>
      <w:rPr>
        <w:rFonts w:hint="eastAsia" w:ascii="微软雅黑 Light" w:hAnsi="微软雅黑 Light"/>
        <w:b/>
        <w:bCs/>
        <w:i/>
        <w:iCs/>
        <w:color w:val="0000FF"/>
        <w:sz w:val="44"/>
        <w:szCs w:val="44"/>
        <w:vertAlign w:val="superscript"/>
      </w:rPr>
      <w:t>西安北斗星导航技术有限公司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DED836"/>
    <w:multiLevelType w:val="multilevel"/>
    <w:tmpl w:val="6FDED836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D305D2"/>
    <w:rsid w:val="00013D77"/>
    <w:rsid w:val="00041A6C"/>
    <w:rsid w:val="00042848"/>
    <w:rsid w:val="001C22B2"/>
    <w:rsid w:val="001E0938"/>
    <w:rsid w:val="002164A3"/>
    <w:rsid w:val="00240F68"/>
    <w:rsid w:val="002C707C"/>
    <w:rsid w:val="002F1F56"/>
    <w:rsid w:val="0031577D"/>
    <w:rsid w:val="00321499"/>
    <w:rsid w:val="00337156"/>
    <w:rsid w:val="003A69A5"/>
    <w:rsid w:val="003E46E4"/>
    <w:rsid w:val="003E6D23"/>
    <w:rsid w:val="00410503"/>
    <w:rsid w:val="004227F8"/>
    <w:rsid w:val="00476CEF"/>
    <w:rsid w:val="00576A2B"/>
    <w:rsid w:val="005821DE"/>
    <w:rsid w:val="005D5F38"/>
    <w:rsid w:val="005F3E63"/>
    <w:rsid w:val="006560B2"/>
    <w:rsid w:val="00681C43"/>
    <w:rsid w:val="007C6BE3"/>
    <w:rsid w:val="0089220E"/>
    <w:rsid w:val="008A365D"/>
    <w:rsid w:val="00925DCA"/>
    <w:rsid w:val="0098015C"/>
    <w:rsid w:val="009907F5"/>
    <w:rsid w:val="009F7D96"/>
    <w:rsid w:val="00A0684A"/>
    <w:rsid w:val="00A85384"/>
    <w:rsid w:val="00C270A4"/>
    <w:rsid w:val="00CC1514"/>
    <w:rsid w:val="00D240A2"/>
    <w:rsid w:val="00E43160"/>
    <w:rsid w:val="00E611C7"/>
    <w:rsid w:val="00E82BE9"/>
    <w:rsid w:val="00EA53CF"/>
    <w:rsid w:val="00F236E0"/>
    <w:rsid w:val="00F30664"/>
    <w:rsid w:val="00F6013D"/>
    <w:rsid w:val="00FB0EE2"/>
    <w:rsid w:val="01A962C6"/>
    <w:rsid w:val="02CF05B7"/>
    <w:rsid w:val="0682200E"/>
    <w:rsid w:val="07944D15"/>
    <w:rsid w:val="0E99198A"/>
    <w:rsid w:val="13486488"/>
    <w:rsid w:val="156A1091"/>
    <w:rsid w:val="1584241C"/>
    <w:rsid w:val="17C469E7"/>
    <w:rsid w:val="1A613908"/>
    <w:rsid w:val="1F301408"/>
    <w:rsid w:val="22B01F2E"/>
    <w:rsid w:val="22EE6D17"/>
    <w:rsid w:val="2BD305D2"/>
    <w:rsid w:val="2E8E0707"/>
    <w:rsid w:val="36D42762"/>
    <w:rsid w:val="38140D40"/>
    <w:rsid w:val="3A6859A7"/>
    <w:rsid w:val="3D064D77"/>
    <w:rsid w:val="426F12F9"/>
    <w:rsid w:val="44EB5DD5"/>
    <w:rsid w:val="453B389E"/>
    <w:rsid w:val="453E4353"/>
    <w:rsid w:val="4B171D28"/>
    <w:rsid w:val="4C101EF6"/>
    <w:rsid w:val="4D5F11D5"/>
    <w:rsid w:val="4FF711BF"/>
    <w:rsid w:val="50022035"/>
    <w:rsid w:val="539B5634"/>
    <w:rsid w:val="558926D2"/>
    <w:rsid w:val="5C5A7DB1"/>
    <w:rsid w:val="61434011"/>
    <w:rsid w:val="63C34D57"/>
    <w:rsid w:val="6481659F"/>
    <w:rsid w:val="64BD6405"/>
    <w:rsid w:val="65597239"/>
    <w:rsid w:val="666D5F4C"/>
    <w:rsid w:val="670C1016"/>
    <w:rsid w:val="67697A80"/>
    <w:rsid w:val="681351F0"/>
    <w:rsid w:val="68E85E01"/>
    <w:rsid w:val="6B8E7450"/>
    <w:rsid w:val="6CBC0F98"/>
    <w:rsid w:val="71695C62"/>
    <w:rsid w:val="72F26CA6"/>
    <w:rsid w:val="749C4322"/>
    <w:rsid w:val="783E2623"/>
    <w:rsid w:val="78BE7236"/>
    <w:rsid w:val="7AA5051A"/>
    <w:rsid w:val="7EBF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numPr>
        <w:ilvl w:val="0"/>
        <w:numId w:val="1"/>
      </w:numPr>
      <w:spacing w:after="100" w:afterLines="100"/>
      <w:ind w:firstLine="0" w:firstLineChars="0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numPr>
        <w:ilvl w:val="1"/>
        <w:numId w:val="1"/>
      </w:numPr>
      <w:spacing w:after="100" w:afterLines="100"/>
      <w:ind w:firstLine="0" w:firstLineChars="0"/>
      <w:outlineLvl w:val="1"/>
    </w:pPr>
    <w:rPr>
      <w:rFonts w:ascii="Cambria" w:hAnsi="Cambria" w:cs="Times New Roman"/>
      <w:b/>
      <w:bCs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numPr>
        <w:ilvl w:val="2"/>
        <w:numId w:val="1"/>
      </w:numPr>
      <w:spacing w:before="80" w:after="80"/>
      <w:ind w:firstLine="0" w:firstLineChars="0"/>
      <w:outlineLvl w:val="2"/>
    </w:pPr>
    <w:rPr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ind w:firstLine="0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ind w:firstLine="0" w:firstLineChars="0"/>
      <w:outlineLvl w:val="5"/>
    </w:pPr>
    <w:rPr>
      <w:rFonts w:ascii="Arial" w:hAnsi="Arial" w:eastAsia="黑体"/>
      <w:b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="0" w:firstLineChars="0"/>
      <w:outlineLvl w:val="6"/>
    </w:pPr>
    <w:rPr>
      <w:b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="0" w:firstLineChars="0"/>
      <w:outlineLvl w:val="7"/>
    </w:pPr>
    <w:rPr>
      <w:rFonts w:ascii="Arial" w:hAnsi="Arial" w:eastAsia="黑体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="0"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3">
    <w:name w:val="toc 1"/>
    <w:basedOn w:val="1"/>
    <w:next w:val="1"/>
    <w:qFormat/>
    <w:uiPriority w:val="39"/>
    <w:pPr>
      <w:tabs>
        <w:tab w:val="left" w:pos="1050"/>
        <w:tab w:val="right" w:leader="dot" w:pos="9736"/>
      </w:tabs>
      <w:ind w:left="100" w:leftChars="100" w:right="240" w:rightChars="100" w:firstLine="48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qFormat/>
    <w:uiPriority w:val="99"/>
    <w:rPr>
      <w:color w:val="0000FF"/>
      <w:u w:val="single"/>
    </w:rPr>
  </w:style>
  <w:style w:type="character" w:customStyle="1" w:styleId="18">
    <w:name w:val="标题 1 字符"/>
    <w:link w:val="2"/>
    <w:qFormat/>
    <w:uiPriority w:val="9"/>
    <w:rPr>
      <w:rFonts w:eastAsia="宋体"/>
      <w:b/>
      <w:bCs/>
      <w:kern w:val="44"/>
      <w:sz w:val="32"/>
      <w:szCs w:val="44"/>
    </w:rPr>
  </w:style>
  <w:style w:type="character" w:customStyle="1" w:styleId="19">
    <w:name w:val="标题 2 字符"/>
    <w:link w:val="3"/>
    <w:qFormat/>
    <w:uiPriority w:val="9"/>
    <w:rPr>
      <w:rFonts w:ascii="Cambria" w:hAnsi="Cambria" w:eastAsia="宋体" w:cs="Times New Roman"/>
      <w:b/>
      <w:bCs/>
      <w:kern w:val="2"/>
      <w:sz w:val="24"/>
      <w:szCs w:val="32"/>
    </w:rPr>
  </w:style>
  <w:style w:type="character" w:customStyle="1" w:styleId="20">
    <w:name w:val="标题 3 字符"/>
    <w:link w:val="4"/>
    <w:qFormat/>
    <w:uiPriority w:val="0"/>
    <w:rPr>
      <w:rFonts w:eastAsia="宋体"/>
      <w:b/>
    </w:rPr>
  </w:style>
  <w:style w:type="character" w:customStyle="1" w:styleId="21">
    <w:name w:val="font2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22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3">
    <w:name w:val="WPSOffice手动目录 1"/>
    <w:qFormat/>
    <w:uiPriority w:val="0"/>
    <w:rPr>
      <w:rFonts w:ascii="Calibri" w:hAnsi="Calibri" w:eastAsia="等线" w:cs="Arial"/>
      <w:lang w:val="en-US" w:eastAsia="zh-CN" w:bidi="ar-SA"/>
    </w:rPr>
  </w:style>
  <w:style w:type="character" w:customStyle="1" w:styleId="24">
    <w:name w:val="font1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paragraph" w:styleId="25">
    <w:name w:val="List Paragraph"/>
    <w:basedOn w:val="1"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jpeg"/><Relationship Id="rId12" Type="http://schemas.openxmlformats.org/officeDocument/2006/relationships/theme" Target="theme/theme1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635</Words>
  <Characters>1303</Characters>
  <Lines>13</Lines>
  <Paragraphs>3</Paragraphs>
  <TotalTime>2</TotalTime>
  <ScaleCrop>false</ScaleCrop>
  <LinksUpToDate>false</LinksUpToDate>
  <CharactersWithSpaces>1476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2021-07-07T01:50:00Z</dcterms:created>
  <dc:creator>DQQQ</dc:creator>
  <cp:lastModifiedBy>bdx2019</cp:lastModifiedBy>
  <cp:lastPrinted>2021-07-06T11:16:00Z</cp:lastPrinted>
  <dcterms:modified xsi:type="dcterms:W3CDTF">2022-03-02T09:12:42Z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B33BD5A4F05949F59D082CA725E8E9C7</vt:lpwstr>
  </property>
</Properties>
</file>